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559.1338582677173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1697941</wp:posOffset>
            </wp:positionH>
            <wp:positionV relativeFrom="paragraph">
              <wp:posOffset>393600</wp:posOffset>
            </wp:positionV>
            <wp:extent cx="2533673" cy="2533673"/>
            <wp:effectExtent b="0" l="0" r="0" t="0"/>
            <wp:wrapTopAndBottom distB="152400" distT="152400"/>
            <wp:docPr descr="pasted-movie.png" id="1073741830" name="image4.png"/>
            <a:graphic>
              <a:graphicData uri="http://schemas.openxmlformats.org/drawingml/2006/picture">
                <pic:pic>
                  <pic:nvPicPr>
                    <pic:cNvPr descr="pasted-movie.png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73" cy="25336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91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91"/>
          <w:sz w:val="40"/>
          <w:szCs w:val="40"/>
          <w:highlight w:val="white"/>
          <w:u w:val="none"/>
          <w:vertAlign w:val="baseline"/>
          <w:rtl w:val="0"/>
        </w:rPr>
        <w:t xml:space="preserve">Projektidé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91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highlight w:val="white"/>
          <w:u w:val="none"/>
          <w:vertAlign w:val="baseline"/>
          <w:rtl w:val="0"/>
        </w:rPr>
        <w:t xml:space="preserve">Modulärisering av AI-modell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highlight w:val="white"/>
          <w:u w:val="none"/>
          <w:vertAlign w:val="baseline"/>
          <w:rtl w:val="0"/>
        </w:rPr>
        <w:t xml:space="preserve">(AI-toolchain)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Mattias Festin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highlight w:val="white"/>
          <w:u w:val="none"/>
          <w:vertAlign w:val="baseline"/>
          <w:rtl w:val="0"/>
        </w:rPr>
        <w:t xml:space="preserve">Emelie Chandni Jutvik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2024-05-28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keepNext w:val="1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559.1338582677173" w:firstLine="0"/>
            <w:jc w:val="left"/>
            <w:rPr>
              <w:rFonts w:ascii="Helvetica Neue" w:cs="Helvetica Neue" w:eastAsia="Helvetica Neue" w:hAnsi="Helvetica Neue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8"/>
            </w:tabs>
            <w:spacing w:after="0" w:before="160" w:line="240" w:lineRule="auto"/>
            <w:ind w:left="0" w:right="559.1338582677173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Syfte</w:t>
            <w:tab/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8"/>
            </w:tabs>
            <w:spacing w:after="0" w:before="160" w:line="240" w:lineRule="auto"/>
            <w:ind w:left="0" w:right="559.1338582677173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Nytta</w:t>
            <w:tab/>
          </w:r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8"/>
            </w:tabs>
            <w:spacing w:after="0" w:before="160" w:line="240" w:lineRule="auto"/>
            <w:ind w:left="0" w:right="559.1338582677173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Värde</w:t>
            <w:tab/>
          </w:r>
          <w:r w:rsidDel="00000000" w:rsidR="00000000" w:rsidRPr="00000000">
            <w:fldChar w:fldCharType="begin"/>
            <w:instrText xml:space="preserve"> HYPERLINK \l "_heading=h.3znysh7"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8"/>
            </w:tabs>
            <w:spacing w:after="0" w:before="160" w:line="240" w:lineRule="auto"/>
            <w:ind w:left="0" w:right="559.1338582677173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Befintlig kodbas</w:t>
            <w:tab/>
          </w:r>
          <w:r w:rsidDel="00000000" w:rsidR="00000000" w:rsidRPr="00000000">
            <w:fldChar w:fldCharType="begin"/>
            <w:instrText xml:space="preserve"> HYPERLINK \l "_heading=h.2et92p0"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8"/>
            </w:tabs>
            <w:spacing w:after="0" w:before="160" w:line="240" w:lineRule="auto"/>
            <w:ind w:left="0" w:right="559.1338582677173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Paketering</w:t>
            <w:tab/>
          </w:r>
          <w:r w:rsidDel="00000000" w:rsidR="00000000" w:rsidRPr="00000000">
            <w:fldChar w:fldCharType="begin"/>
            <w:instrText xml:space="preserve"> HYPERLINK \l "_heading=h.tyjcwt"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ind w:right="559.1338582677173"/>
        <w:rPr/>
      </w:pPr>
      <w:r w:rsidDel="00000000" w:rsidR="00000000" w:rsidRPr="00000000">
        <w:fldChar w:fldCharType="end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Syfte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Utveckla ett verktyg (toolchain) som förenklar inlärningsprocess och arbetsflöde för att implementera AI-modeller i Decerno:s projekt.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Kunna erbjuda en specialistlösning som skiljer Decerno från andra aktörer på marknaden.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Kunna erbjuda anställda på Decerno att vara delaktig i utvecklingen av en teknikmodul som ligger i framkant.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Verktyget fungerar som kvalitetssäkring av framtagen AI-modell då utvecklingsstegen i toolchain:en ställer krav på arbetsflödet samt data.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Nytta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Fler utvecklare inom Decerno får kunskap om AI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Fler utvecklare inom Decerno  kan implementera AI-modeller i sina projekt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Utvecklingstiden för att implementera AI minskas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Möjligheten till att bygga kundspecifika lösningar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Möjligheten till att kapsla in lösningen och kunna säkerställa att kundens data inte lämnar deras system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Värde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En modul/toolchain som kan tillämpas inom flera projekt möjliggör att kostnader för vidareutveckling och förädling kan fördelas mellan projekten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Produkten kan användas som säljargument och visa upp Decerno som ett företag som utvecklat en unik toolchain som förenklar vägen från idé till realisering av AI-modell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Befintlig kodbas</w:t>
      </w:r>
    </w:p>
    <w:p w:rsidR="00000000" w:rsidDel="00000000" w:rsidP="00000000" w:rsidRDefault="00000000" w:rsidRPr="00000000" w14:paraId="00000033">
      <w:pPr>
        <w:pStyle w:val="Heading2"/>
        <w:ind w:right="559.133858267717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ind w:right="559.133858267717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Modul 1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Hanterar olika typer av indata-format och levererar en csv-fil med relevant data för beräkningen.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19930" cy="1788740"/>
            <wp:effectExtent b="0" l="0" r="0" t="0"/>
            <wp:docPr descr="unknown.png" id="1073741832" name="image3.png"/>
            <a:graphic>
              <a:graphicData uri="http://schemas.openxmlformats.org/drawingml/2006/picture">
                <pic:pic>
                  <pic:nvPicPr>
                    <pic:cNvPr descr="unknown.png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178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ind w:right="559.133858267717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ind w:right="559.133858267717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Modul 2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Läser csv-filen från modul 1 och förbereder denna data för att kunna läsas av ett neuralt nätverk. Den förberedda datan och nätverket genomgår ett valideringstest: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8" w:right="559.1338582677173" w:hanging="217.999999999999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Godkänd validering —&gt; data och modell är redo för att skickas till modul 3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8" w:right="559.1338582677173" w:hanging="217.999999999999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Icke godkänd validering —&gt; modellen behöver justeras och körs genom valideringstest tills dess att önskat resultat uppnås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19930" cy="3269152"/>
            <wp:effectExtent b="0" l="0" r="0" t="0"/>
            <wp:docPr descr="unknown.png" id="1073741831" name="image5.png"/>
            <a:graphic>
              <a:graphicData uri="http://schemas.openxmlformats.org/drawingml/2006/picture">
                <pic:pic>
                  <pic:nvPicPr>
                    <pic:cNvPr descr="unknown.png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269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ind w:right="559.1338582677173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ind w:right="559.133858267717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Modul 3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Det neurala nätverket tränas och sparas.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287130" cy="2073146"/>
            <wp:effectExtent b="0" l="0" r="0" t="0"/>
            <wp:docPr descr="unknown.png" id="1073741834" name="image2.png"/>
            <a:graphic>
              <a:graphicData uri="http://schemas.openxmlformats.org/drawingml/2006/picture">
                <pic:pic>
                  <pic:nvPicPr>
                    <pic:cNvPr descr="unknown.png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7130" cy="2073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ind w:right="559.133858267717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ind w:right="559.133858267717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Modul 4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Det sparade/tränade neurala nätverket (från modul 3) nyttjas för att göra en prediktion. Resultatet skickas i form av rådata. Presentationen av resultatet och jämförelsen med verklig data görs lokalt. Tanken är att denna data kan skickas till ett lagringsutrymme som vidare kan läsas in i BI-rapport, webb-applikation, o. dyl.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788610" cy="2706150"/>
            <wp:effectExtent b="0" l="0" r="0" t="0"/>
            <wp:docPr descr="unknown.png" id="1073741833" name="image1.png"/>
            <a:graphic>
              <a:graphicData uri="http://schemas.openxmlformats.org/drawingml/2006/picture">
                <pic:pic>
                  <pic:nvPicPr>
                    <pic:cNvPr descr="unknown.png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8610" cy="270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Paketering</w:t>
      </w:r>
    </w:p>
    <w:p w:rsidR="00000000" w:rsidDel="00000000" w:rsidP="00000000" w:rsidRDefault="00000000" w:rsidRPr="00000000" w14:paraId="00000053">
      <w:pPr>
        <w:pStyle w:val="Heading2"/>
        <w:ind w:right="559.133858267717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ind w:right="559.133858267717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MVP (Minimum value product)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Hantering av olika typer av indata-filer (.json, .csv till att börja med)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Användargränssnitt som hanterar: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8" w:right="559.1338582677173" w:hanging="217.999999999999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Uppladdning av indata-fil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8" w:right="559.1338582677173" w:hanging="217.999999999999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Val av neuralt nätverk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8" w:right="559.1338582677173" w:hanging="217.999999999999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Specifikation av in-parametrar som ska användas för beräkningen (string)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8" w:right="559.1338582677173" w:hanging="217.999999999999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Specifikation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 av ut-parameter (string)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8" w:right="559.1338582677173" w:hanging="217.999999999999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Inställning av hyper-parametrar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8" w:right="559.1338582677173" w:hanging="217.999999999999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Presentation av verifieringstest (plot)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8" w:right="559.1338582677173" w:hanging="217.999999999999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Möjligheten att starta träning av ett nätverk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8" w:right="559.1338582677173" w:hanging="217.999999999999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Output —&gt; tränad modell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ind w:right="559.133858267717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Vidareutveckling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9.1338582677173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Utveckla ett prediktionssteg (modul 4) där vi automatiserar flödet för att hämta indata och göra en prediktion i realtid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Stegvis automatisering av manuella funktioner som sker via användargränssnittet i MVP: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8" w:right="559.1338582677173" w:hanging="217.999999999999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Val av neuralt nätverk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8" w:right="559.1338582677173" w:hanging="217.999999999999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Val av in-parametrar till modellen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8" w:right="559.1338582677173" w:hanging="217.999999999999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Hyperparameter-justering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8" w:right="559.1338582677173" w:hanging="217.999999999999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Verifiering av modellen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8" w:right="559.1338582677173" w:hanging="217.9999999999999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Start av träningsfasen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Utveckla ett test där modellen själv kan avgöra minsta möjliga datamängd som krävs för att göra en god nog prediktion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Implementation av flera olika typer av nätverk (idag befintliga lösningen finns ANN, RNN , Transformer)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8" w:right="559.1338582677173" w:hanging="21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Tillägg av hantering av flera olika datakällor (text, bilder, osv. I befintlig lösning hanteras endast indata i form av rådata.)</w:t>
      </w:r>
    </w:p>
    <w:sectPr>
      <w:headerReference r:id="rId12" w:type="default"/>
      <w:footerReference r:id="rId13" w:type="default"/>
      <w:pgSz w:h="16838" w:w="11906" w:orient="portrait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8" w:hanging="218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458" w:hanging="218.00000000000003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698" w:hanging="218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3">
      <w:start w:val="1"/>
      <w:numFmt w:val="bullet"/>
      <w:lvlText w:val="-"/>
      <w:lvlJc w:val="left"/>
      <w:pPr>
        <w:ind w:left="938" w:hanging="218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4">
      <w:start w:val="1"/>
      <w:numFmt w:val="bullet"/>
      <w:lvlText w:val="-"/>
      <w:lvlJc w:val="left"/>
      <w:pPr>
        <w:ind w:left="1178" w:hanging="218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5">
      <w:start w:val="1"/>
      <w:numFmt w:val="bullet"/>
      <w:lvlText w:val="-"/>
      <w:lvlJc w:val="left"/>
      <w:pPr>
        <w:ind w:left="1418" w:hanging="217.99999999999977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6">
      <w:start w:val="1"/>
      <w:numFmt w:val="bullet"/>
      <w:lvlText w:val="-"/>
      <w:lvlJc w:val="left"/>
      <w:pPr>
        <w:ind w:left="1658" w:hanging="218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7">
      <w:start w:val="1"/>
      <w:numFmt w:val="bullet"/>
      <w:lvlText w:val="-"/>
      <w:lvlJc w:val="left"/>
      <w:pPr>
        <w:ind w:left="1898" w:hanging="218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8">
      <w:start w:val="1"/>
      <w:numFmt w:val="bullet"/>
      <w:lvlText w:val="-"/>
      <w:lvlJc w:val="left"/>
      <w:pPr>
        <w:ind w:left="2138" w:hanging="218"/>
      </w:pPr>
      <w:rPr>
        <w:smallCaps w:val="0"/>
        <w:strike w:val="0"/>
        <w:sz w:val="24"/>
        <w:szCs w:val="24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-"/>
      <w:lvlJc w:val="left"/>
      <w:pPr>
        <w:ind w:left="218" w:hanging="218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458" w:hanging="218.00000000000003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698" w:hanging="218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3">
      <w:start w:val="1"/>
      <w:numFmt w:val="bullet"/>
      <w:lvlText w:val="-"/>
      <w:lvlJc w:val="left"/>
      <w:pPr>
        <w:ind w:left="938" w:hanging="218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4">
      <w:start w:val="1"/>
      <w:numFmt w:val="bullet"/>
      <w:lvlText w:val="-"/>
      <w:lvlJc w:val="left"/>
      <w:pPr>
        <w:ind w:left="1178" w:hanging="218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5">
      <w:start w:val="1"/>
      <w:numFmt w:val="bullet"/>
      <w:lvlText w:val="-"/>
      <w:lvlJc w:val="left"/>
      <w:pPr>
        <w:ind w:left="1418" w:hanging="217.99999999999977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6">
      <w:start w:val="1"/>
      <w:numFmt w:val="bullet"/>
      <w:lvlText w:val="-"/>
      <w:lvlJc w:val="left"/>
      <w:pPr>
        <w:ind w:left="1658" w:hanging="218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7">
      <w:start w:val="1"/>
      <w:numFmt w:val="bullet"/>
      <w:lvlText w:val="-"/>
      <w:lvlJc w:val="left"/>
      <w:pPr>
        <w:ind w:left="1898" w:hanging="218"/>
      </w:pPr>
      <w:rPr>
        <w:smallCaps w:val="0"/>
        <w:strike w:val="0"/>
        <w:sz w:val="24"/>
        <w:szCs w:val="24"/>
        <w:shd w:fill="auto" w:val="clear"/>
        <w:vertAlign w:val="baseline"/>
      </w:rPr>
    </w:lvl>
    <w:lvl w:ilvl="8">
      <w:start w:val="1"/>
      <w:numFmt w:val="bullet"/>
      <w:lvlText w:val="-"/>
      <w:lvlJc w:val="left"/>
      <w:pPr>
        <w:ind w:left="2138" w:hanging="218"/>
      </w:pPr>
      <w:rPr>
        <w:smallCaps w:val="0"/>
        <w:strike w:val="0"/>
        <w:sz w:val="24"/>
        <w:szCs w:val="24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sv-SE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Helvetica Neue" w:cs="Helvetica Neue" w:eastAsia="Helvetica Neue" w:hAnsi="Helvetica Neue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160" w:line="288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TOC 1 parent">
    <w:name w:val="TOC 1 parent"/>
    <w:next w:val="TOC 1 parent"/>
    <w:pPr>
      <w:keepNext w:val="0"/>
      <w:keepLines w:val="0"/>
      <w:pageBreakBefore w:val="0"/>
      <w:widowControl w:val="1"/>
      <w:shd w:color="auto" w:fill="auto" w:val="clear"/>
      <w:tabs>
        <w:tab w:val="right" w:pos="9638"/>
      </w:tabs>
      <w:suppressAutoHyphens w:val="0"/>
      <w:bidi w:val="0"/>
      <w:spacing w:after="0" w:before="160" w:line="240" w:lineRule="auto"/>
      <w:ind w:left="0" w:right="0" w:firstLine="0"/>
      <w:jc w:val="left"/>
      <w:outlineLvl w:val="9"/>
    </w:pPr>
    <w:rPr>
      <w:rFonts w:ascii="Helvetica Neue" w:cs="Helvetica Neue" w:eastAsia="Helvetica Neue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TOC 1">
    <w:name w:val="TOC 1"/>
    <w:basedOn w:val="TOC 1 parent"/>
    <w:next w:val="TOC 1 parent"/>
    <w:rPr>
      <w:rFonts w:ascii="Times New Roman" w:cs="Times New Roman" w:eastAsia="Times New Roman" w:hAnsi="Times New Roman"/>
      <w:sz w:val="20"/>
      <w:szCs w:val="20"/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0"/>
    </w:pPr>
    <w:rPr>
      <w:rFonts w:ascii="Helvetica Neue" w:cs="Helvetica Neue" w:eastAsia="Helvetica Neue" w:hAnsi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Helvetica Neue" w:eastAsia="Helvetica Neue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numbering" w:styleId="Dash">
    <w:name w:val="Dash"/>
    <w:pPr>
      <w:numPr>
        <w:numId w:val="1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BeLGEkxTVMwe1YlSSjHCv6WJgw==">CgMxLjAyCGguZ2pkZ3hzMgloLjMwajB6bGwyCWguMWZvYjl0ZTIJaC4zem55c2g3MgloLjJldDkycDAyCGgudHlqY3d0OAByITF0RGRyQVcwcHd5LWctcnRpb2lUX05IdE1pWUlNYllpbA==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