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Establish Local Domain and Applications: Pike's Peak Health Care [PPHC]</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Grand Canyon University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ITT-415 IT Business Case Planning for Global Enterprise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Professor Timothy Montgomery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Liela Pressley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December 22, 2024</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Establish Local Domain and Applications: Pike's Peak Health Care [PPHC]</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Understanding the connections between the different networking layers is essential for information technology and information security. Each layer holds data and plays a part in storing, granting access to, and transmitting information across the network, through various devices and to different users. The IT discipline requires proper understanding of routing protocols to know best practices in implementing routing protocols for network traffic (accessibility) and network security (deciding where data needs to be transmitted to correctly). Switching devices provide an element of security within networks as they provide local connections amongst devices to allow for data transmission. The physical layer can be overwhelming to understand on a detailed technical level as it is where data is transmitted from the hardware of devices into data but that is the corner stone of all digital technology and thus must be studied/understood within the IT discipline. Transport layers are where information/data is able to travel through the network via UDP and TCP protocols which is the bloodstream of all IT. Failure to understand the anatomy of any of the OSI layers can create a very unproductive and insecure network and IT environment.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Provided below are screenshots of the Active Directory User and Computer Tree Showing the 2 member servers connected to the main server: PPHC1 and Confirmation that PPHC2 &amp; PPHC3 joined the domain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ITT430-PPHC1, ITT430-PPHC2, ITT430-PPHC3  CORP.ITT430PPHC.COM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943600" cy="52451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5245100"/>
                    </a:xfrm>
                    <a:prstGeom prst="rect"/>
                    <a:ln/>
                  </pic:spPr>
                </pic:pic>
              </a:graphicData>
            </a:graphic>
          </wp:inline>
        </w:drawing>
      </w: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943600" cy="48895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889500"/>
                    </a:xfrm>
                    <a:prstGeom prst="rect"/>
                    <a:ln/>
                  </pic:spPr>
                </pic:pic>
              </a:graphicData>
            </a:graphic>
          </wp:inline>
        </w:drawing>
      </w: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943600" cy="34798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1625" cy="414337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81625" cy="41433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40259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4892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942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394200"/>
                    </a:xfrm>
                    <a:prstGeom prst="rect"/>
                    <a:ln/>
                  </pic:spPr>
                </pic:pic>
              </a:graphicData>
            </a:graphic>
          </wp:inline>
        </w:drawing>
      </w: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