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F7A" w:rsidRPr="003D2554" w:rsidRDefault="003D2554">
      <w:pPr>
        <w:rPr>
          <w:b/>
          <w:sz w:val="28"/>
          <w:szCs w:val="28"/>
        </w:rPr>
      </w:pPr>
      <w:r w:rsidRPr="003D2554">
        <w:rPr>
          <w:b/>
          <w:sz w:val="28"/>
          <w:szCs w:val="28"/>
        </w:rPr>
        <w:t>February 2010 – August 2010</w:t>
      </w:r>
    </w:p>
    <w:p w:rsidR="003D2554" w:rsidRPr="008B2ACF" w:rsidRDefault="008B2ACF">
      <w:pPr>
        <w:rPr>
          <w:sz w:val="24"/>
          <w:szCs w:val="24"/>
        </w:rPr>
      </w:pPr>
      <w:r w:rsidRPr="008B2ACF">
        <w:rPr>
          <w:sz w:val="24"/>
          <w:szCs w:val="24"/>
        </w:rPr>
        <w:t xml:space="preserve">One of the biggest drivers of prepays in the first half of this year was involuntary prepays occurring due to the buyout of 120+ delinquent loans by the GSEs. Freddie bought out all the 120+ delinquent loans backing their MBS in February and then continued to buyout any incremental 120+ delinquencies on a monthly basis. Fannie did the one time buyouts from March to June and, similar to Freddie, continued to buyout the incremental 120+ delinquencies from their pools every month. </w:t>
      </w:r>
    </w:p>
    <w:p w:rsidR="008B2ACF" w:rsidRPr="008B2ACF" w:rsidRDefault="005C64D0">
      <w:pPr>
        <w:rPr>
          <w:rFonts w:ascii="Calibri" w:hAnsi="Calibri"/>
          <w:sz w:val="24"/>
          <w:szCs w:val="24"/>
          <w:shd w:val="clear" w:color="auto" w:fill="FFFFFF"/>
        </w:rPr>
      </w:pPr>
      <w:r>
        <w:rPr>
          <w:rFonts w:ascii="Calibri" w:hAnsi="Calibri"/>
          <w:sz w:val="24"/>
          <w:szCs w:val="24"/>
          <w:shd w:val="clear" w:color="auto" w:fill="FFFFFF"/>
        </w:rPr>
        <w:t>The GSEs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said it was made economic sense for them to do this because they were advancing payments to investors a</w:t>
      </w:r>
      <w:r>
        <w:rPr>
          <w:rFonts w:ascii="Calibri" w:hAnsi="Calibri"/>
          <w:sz w:val="24"/>
          <w:szCs w:val="24"/>
          <w:shd w:val="clear" w:color="auto" w:fill="FFFFFF"/>
        </w:rPr>
        <w:t xml:space="preserve">t above market rates. Given that these companies were (and are) backed by the U.S. Treasury at this point in time, 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>their cost of funding was a lot lower</w:t>
      </w:r>
      <w:r>
        <w:rPr>
          <w:rFonts w:ascii="Calibri" w:hAnsi="Calibri"/>
          <w:sz w:val="24"/>
          <w:szCs w:val="24"/>
          <w:shd w:val="clear" w:color="auto" w:fill="FFFFFF"/>
        </w:rPr>
        <w:t>. Given this low cost, it makes sense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to buyout these delinquent mortgages as long as </w:t>
      </w:r>
      <w:r>
        <w:rPr>
          <w:rFonts w:ascii="Calibri" w:hAnsi="Calibri"/>
          <w:sz w:val="24"/>
          <w:szCs w:val="24"/>
          <w:shd w:val="clear" w:color="auto" w:fill="FFFFFF"/>
        </w:rPr>
        <w:t>they have the capital to do so and the advancing rate is higher than the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cost of funding. </w:t>
      </w:r>
    </w:p>
    <w:p w:rsidR="008B2ACF" w:rsidRDefault="00BE2162">
      <w:pPr>
        <w:rPr>
          <w:rFonts w:ascii="Calibri" w:hAnsi="Calibri"/>
          <w:sz w:val="24"/>
          <w:szCs w:val="24"/>
          <w:shd w:val="clear" w:color="auto" w:fill="FFFFFF"/>
        </w:rPr>
      </w:pPr>
      <w:r>
        <w:rPr>
          <w:rFonts w:ascii="Calibri" w:hAnsi="Calibri"/>
          <w:sz w:val="24"/>
          <w:szCs w:val="24"/>
          <w:shd w:val="clear" w:color="auto" w:fill="FFFFFF"/>
        </w:rPr>
        <w:t>To calculate “buyout CPRs” at the pool level,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use the prior months 120+ day delinq</w:t>
      </w:r>
      <w:r>
        <w:rPr>
          <w:rFonts w:ascii="Calibri" w:hAnsi="Calibri"/>
          <w:sz w:val="24"/>
          <w:szCs w:val="24"/>
          <w:shd w:val="clear" w:color="auto" w:fill="FFFFFF"/>
        </w:rPr>
        <w:t>uency rate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to figure</w:t>
      </w:r>
      <w:r>
        <w:rPr>
          <w:rFonts w:ascii="Calibri" w:hAnsi="Calibri"/>
          <w:sz w:val="24"/>
          <w:szCs w:val="24"/>
          <w:shd w:val="clear" w:color="auto" w:fill="FFFFFF"/>
        </w:rPr>
        <w:t xml:space="preserve"> out next month’s buyout. For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data prior to Jan 201</w:t>
      </w:r>
      <w:r>
        <w:rPr>
          <w:rFonts w:ascii="Calibri" w:hAnsi="Calibri"/>
          <w:sz w:val="24"/>
          <w:szCs w:val="24"/>
          <w:shd w:val="clear" w:color="auto" w:fill="FFFFFF"/>
        </w:rPr>
        <w:t>1 (Freddie started releasing pool-level data as of this date),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the GSEs used to publish the 120+ day delinq</w:t>
      </w:r>
      <w:r>
        <w:rPr>
          <w:rFonts w:ascii="Calibri" w:hAnsi="Calibri"/>
          <w:sz w:val="24"/>
          <w:szCs w:val="24"/>
          <w:shd w:val="clear" w:color="auto" w:fill="FFFFFF"/>
        </w:rPr>
        <w:t>uency</w:t>
      </w:r>
      <w:r w:rsidR="008B2ACF" w:rsidRPr="008B2ACF">
        <w:rPr>
          <w:rFonts w:ascii="Calibri" w:hAnsi="Calibri"/>
          <w:sz w:val="24"/>
          <w:szCs w:val="24"/>
          <w:shd w:val="clear" w:color="auto" w:fill="FFFFFF"/>
        </w:rPr>
        <w:t xml:space="preserve"> percentages by coupon and vintages in a pdf document on their website.</w:t>
      </w:r>
      <w:r w:rsidR="004A08AC">
        <w:rPr>
          <w:rFonts w:ascii="Calibri" w:hAnsi="Calibri"/>
          <w:sz w:val="24"/>
          <w:szCs w:val="24"/>
          <w:shd w:val="clear" w:color="auto" w:fill="FFFFFF"/>
        </w:rPr>
        <w:t xml:space="preserve"> The magnitude of this activity varies heavily by origination year, coupon and calendar time (the relevant month in 2010) and generally appears to average between 5-10% CPR.</w:t>
      </w:r>
    </w:p>
    <w:p w:rsidR="004A08AC" w:rsidRDefault="004A08AC">
      <w:pPr>
        <w:rPr>
          <w:rFonts w:ascii="Calibri" w:hAnsi="Calibri"/>
          <w:sz w:val="24"/>
          <w:szCs w:val="24"/>
          <w:shd w:val="clear" w:color="auto" w:fill="FFFFFF"/>
        </w:rPr>
      </w:pPr>
      <w:r>
        <w:rPr>
          <w:rFonts w:ascii="Calibri" w:hAnsi="Calibri"/>
          <w:sz w:val="24"/>
          <w:szCs w:val="24"/>
          <w:shd w:val="clear" w:color="auto" w:fill="FFFFFF"/>
        </w:rPr>
        <w:t xml:space="preserve">The model completely misses this peak because it essentially corresponds to an exogenous shock to prepayment rates as the result of a policy change as the GSEs essentially flush as much of their 120+ delinquent </w:t>
      </w:r>
      <w:proofErr w:type="gramStart"/>
      <w:r>
        <w:rPr>
          <w:rFonts w:ascii="Calibri" w:hAnsi="Calibri"/>
          <w:sz w:val="24"/>
          <w:szCs w:val="24"/>
          <w:shd w:val="clear" w:color="auto" w:fill="FFFFFF"/>
        </w:rPr>
        <w:t>pipeline</w:t>
      </w:r>
      <w:proofErr w:type="gramEnd"/>
      <w:r>
        <w:rPr>
          <w:rFonts w:ascii="Calibri" w:hAnsi="Calibri"/>
          <w:sz w:val="24"/>
          <w:szCs w:val="24"/>
          <w:shd w:val="clear" w:color="auto" w:fill="FFFFFF"/>
        </w:rPr>
        <w:t xml:space="preserve"> as possible.</w:t>
      </w:r>
      <w:bookmarkStart w:id="0" w:name="_GoBack"/>
      <w:bookmarkEnd w:id="0"/>
      <w:r>
        <w:rPr>
          <w:rFonts w:ascii="Calibri" w:hAnsi="Calibri"/>
          <w:sz w:val="24"/>
          <w:szCs w:val="24"/>
          <w:shd w:val="clear" w:color="auto" w:fill="FFFFFF"/>
        </w:rPr>
        <w:t xml:space="preserve"> </w:t>
      </w:r>
    </w:p>
    <w:p w:rsidR="004A08AC" w:rsidRPr="003D2554" w:rsidRDefault="004A08AC" w:rsidP="004A08A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February 2004 </w:t>
      </w:r>
      <w:r w:rsidRPr="003D2554">
        <w:rPr>
          <w:b/>
          <w:sz w:val="28"/>
          <w:szCs w:val="28"/>
        </w:rPr>
        <w:t xml:space="preserve">– August </w:t>
      </w:r>
      <w:r>
        <w:rPr>
          <w:b/>
          <w:sz w:val="28"/>
          <w:szCs w:val="28"/>
        </w:rPr>
        <w:t>2004</w:t>
      </w:r>
    </w:p>
    <w:p w:rsidR="004A08AC" w:rsidRPr="008B2ACF" w:rsidRDefault="004A08AC">
      <w:pPr>
        <w:rPr>
          <w:sz w:val="24"/>
          <w:szCs w:val="24"/>
        </w:rPr>
      </w:pPr>
    </w:p>
    <w:p w:rsidR="008B2ACF" w:rsidRPr="008B2ACF" w:rsidRDefault="008B2ACF">
      <w:pPr>
        <w:rPr>
          <w:sz w:val="24"/>
          <w:szCs w:val="24"/>
        </w:rPr>
      </w:pPr>
    </w:p>
    <w:sectPr w:rsidR="008B2ACF" w:rsidRPr="008B2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937"/>
    <w:rsid w:val="00034937"/>
    <w:rsid w:val="003D2554"/>
    <w:rsid w:val="004A08AC"/>
    <w:rsid w:val="005C64D0"/>
    <w:rsid w:val="00686F7A"/>
    <w:rsid w:val="008B2ACF"/>
    <w:rsid w:val="00BE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 Chaudhary</dc:creator>
  <cp:lastModifiedBy>Sharad Chaudhary</cp:lastModifiedBy>
  <cp:revision>7</cp:revision>
  <dcterms:created xsi:type="dcterms:W3CDTF">2015-09-22T20:34:00Z</dcterms:created>
  <dcterms:modified xsi:type="dcterms:W3CDTF">2015-09-22T22:09:00Z</dcterms:modified>
</cp:coreProperties>
</file>