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fx3b2vxa6h9d" w:id="0"/>
      <w:bookmarkEnd w:id="0"/>
      <w:r w:rsidDel="00000000" w:rsidR="00000000" w:rsidRPr="00000000">
        <w:rPr>
          <w:b w:val="1"/>
          <w:rtl w:val="0"/>
        </w:rPr>
        <w:t xml:space="preserve">Vision 20/20: A 2-year Strategic Plan for Cello Analytics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useful first step is to think of Cello as two separate and independent entities: </w:t>
      </w:r>
      <w:r w:rsidDel="00000000" w:rsidR="00000000" w:rsidRPr="00000000">
        <w:rPr>
          <w:b w:val="1"/>
          <w:sz w:val="24"/>
          <w:szCs w:val="24"/>
          <w:rtl w:val="0"/>
        </w:rPr>
        <w:t xml:space="preserve">Cello Investments</w:t>
      </w:r>
      <w:r w:rsidDel="00000000" w:rsidR="00000000" w:rsidRPr="00000000">
        <w:rPr>
          <w:sz w:val="24"/>
          <w:szCs w:val="24"/>
          <w:rtl w:val="0"/>
        </w:rPr>
        <w:t xml:space="preserve"> and </w:t>
      </w:r>
      <w:r w:rsidDel="00000000" w:rsidR="00000000" w:rsidRPr="00000000">
        <w:rPr>
          <w:b w:val="1"/>
          <w:sz w:val="24"/>
          <w:szCs w:val="24"/>
          <w:rtl w:val="0"/>
        </w:rPr>
        <w:t xml:space="preserve">Cello Analytics</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Imposing this division exposes certain strategic considerations.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In particular, for starters, Cello Analytics does have one client that by definition is necessary for its survival -- Cello Investments. One of the most important parts of the Vision Statement must then be a commitment to serve the needs of Cello Investments. Another potentially competing need that needs to be addressed is the acquisition of other clients by creating an analytics service that is appealing to them. The 2020 target comes from the fact that, most likely, the current level of funding is only locked-in for two more years from Cello Investments.</w:t>
      </w:r>
    </w:p>
    <w:p w:rsidR="00000000" w:rsidDel="00000000" w:rsidP="00000000" w:rsidRDefault="00000000" w:rsidRPr="00000000" w14:paraId="00000006">
      <w:pPr>
        <w:pStyle w:val="Heading2"/>
        <w:rPr>
          <w:b w:val="1"/>
        </w:rPr>
      </w:pPr>
      <w:bookmarkStart w:colFirst="0" w:colLast="0" w:name="_3wh7tcrigji6" w:id="1"/>
      <w:bookmarkEnd w:id="1"/>
      <w:r w:rsidDel="00000000" w:rsidR="00000000" w:rsidRPr="00000000">
        <w:rPr>
          <w:b w:val="1"/>
          <w:rtl w:val="0"/>
        </w:rPr>
        <w:t xml:space="preserve">Goal A. </w:t>
      </w:r>
      <w:r w:rsidDel="00000000" w:rsidR="00000000" w:rsidRPr="00000000">
        <w:rPr>
          <w:b w:val="1"/>
          <w:rtl w:val="0"/>
        </w:rPr>
        <w:t xml:space="preserve">Serve Client #1: Cello Investments</w:t>
      </w:r>
    </w:p>
    <w:p w:rsidR="00000000" w:rsidDel="00000000" w:rsidP="00000000" w:rsidRDefault="00000000" w:rsidRPr="00000000" w14:paraId="00000007">
      <w:pPr>
        <w:rPr>
          <w:sz w:val="24"/>
          <w:szCs w:val="24"/>
        </w:rPr>
      </w:pPr>
      <w:r w:rsidDel="00000000" w:rsidR="00000000" w:rsidRPr="00000000">
        <w:rPr>
          <w:sz w:val="24"/>
          <w:szCs w:val="24"/>
          <w:rtl w:val="0"/>
        </w:rPr>
        <w:t xml:space="preserve">So, let’s start by addressing the needs of Cello Investments. There are three ones (in rough order of priority):</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Generating a proprietary edge from analytics</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Lowering the cost of analytics services</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Improved convenience and efficiency in using analytics for pricing, risk, hedging, and research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Let’s explore these three needs in some detail below.</w:t>
      </w:r>
    </w:p>
    <w:p w:rsidR="00000000" w:rsidDel="00000000" w:rsidP="00000000" w:rsidRDefault="00000000" w:rsidRPr="00000000" w14:paraId="0000000E">
      <w:pPr>
        <w:pStyle w:val="Heading3"/>
        <w:rPr>
          <w:b w:val="1"/>
        </w:rPr>
      </w:pPr>
      <w:bookmarkStart w:colFirst="0" w:colLast="0" w:name="_uisjiwktzev3" w:id="2"/>
      <w:bookmarkEnd w:id="2"/>
      <w:r w:rsidDel="00000000" w:rsidR="00000000" w:rsidRPr="00000000">
        <w:rPr>
          <w:b w:val="1"/>
          <w:rtl w:val="0"/>
        </w:rPr>
        <w:t xml:space="preserve">Generating a proprietary edge from analytics</w:t>
      </w:r>
    </w:p>
    <w:p w:rsidR="00000000" w:rsidDel="00000000" w:rsidP="00000000" w:rsidRDefault="00000000" w:rsidRPr="00000000" w14:paraId="0000000F">
      <w:pPr>
        <w:rPr>
          <w:sz w:val="24"/>
          <w:szCs w:val="24"/>
        </w:rPr>
      </w:pPr>
      <w:r w:rsidDel="00000000" w:rsidR="00000000" w:rsidRPr="00000000">
        <w:rPr>
          <w:sz w:val="24"/>
          <w:szCs w:val="24"/>
          <w:rtl w:val="0"/>
        </w:rPr>
        <w:t xml:space="preserve">There are two general paths for accomplishing this: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b w:val="1"/>
          <w:sz w:val="24"/>
          <w:szCs w:val="24"/>
          <w:rtl w:val="0"/>
        </w:rPr>
        <w:t xml:space="preserve">Expand model product coverage:</w:t>
      </w:r>
      <w:r w:rsidDel="00000000" w:rsidR="00000000" w:rsidRPr="00000000">
        <w:rPr>
          <w:sz w:val="24"/>
          <w:szCs w:val="24"/>
          <w:rtl w:val="0"/>
        </w:rPr>
        <w:t xml:space="preserve"> In doing so, the hope is that the Investment team gets to survey a broader range of alpha- and beta-generating investments in Agency MBS space. The approximate sequencing of products for product expansion is Conventional ARMs (5/1, 7/1, and 10/1) and FHA Reverse Mortgages. </w:t>
      </w:r>
    </w:p>
    <w:p w:rsidR="00000000" w:rsidDel="00000000" w:rsidP="00000000" w:rsidRDefault="00000000" w:rsidRPr="00000000" w14:paraId="00000012">
      <w:pPr>
        <w:numPr>
          <w:ilvl w:val="0"/>
          <w:numId w:val="5"/>
        </w:numPr>
        <w:ind w:left="720" w:hanging="360"/>
        <w:rPr>
          <w:b w:val="1"/>
          <w:sz w:val="24"/>
          <w:szCs w:val="24"/>
        </w:rPr>
      </w:pPr>
      <w:r w:rsidDel="00000000" w:rsidR="00000000" w:rsidRPr="00000000">
        <w:rPr>
          <w:b w:val="1"/>
          <w:sz w:val="24"/>
          <w:szCs w:val="24"/>
          <w:rtl w:val="0"/>
        </w:rPr>
        <w:t xml:space="preserve">Install “</w:t>
      </w:r>
      <w:commentRangeStart w:id="0"/>
      <w:r w:rsidDel="00000000" w:rsidR="00000000" w:rsidRPr="00000000">
        <w:rPr>
          <w:b w:val="1"/>
          <w:sz w:val="24"/>
          <w:szCs w:val="24"/>
          <w:rtl w:val="0"/>
        </w:rPr>
        <w:t xml:space="preserve">open source</w:t>
      </w:r>
      <w:commentRangeEnd w:id="0"/>
      <w:r w:rsidDel="00000000" w:rsidR="00000000" w:rsidRPr="00000000">
        <w:commentReference w:id="0"/>
      </w:r>
      <w:r w:rsidDel="00000000" w:rsidR="00000000" w:rsidRPr="00000000">
        <w:rPr>
          <w:b w:val="1"/>
          <w:sz w:val="24"/>
          <w:szCs w:val="24"/>
          <w:rtl w:val="0"/>
        </w:rPr>
        <w:t xml:space="preserve">” Cello Analytics models: </w:t>
      </w:r>
      <w:r w:rsidDel="00000000" w:rsidR="00000000" w:rsidRPr="00000000">
        <w:rPr>
          <w:sz w:val="24"/>
          <w:szCs w:val="24"/>
          <w:rtl w:val="0"/>
        </w:rPr>
        <w:t xml:space="preserve">By “open sourcing” the models (complete visibility into data, model structure, and fitting process) and providing granular dials the thought is that the PM team can embed their proprietary expectations and thus gain an incremental advantage over their current more rigid and black-box YB world.</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3">
      <w:pPr>
        <w:pStyle w:val="Heading3"/>
        <w:rPr>
          <w:b w:val="1"/>
        </w:rPr>
      </w:pPr>
      <w:bookmarkStart w:colFirst="0" w:colLast="0" w:name="_9ru2o6erqyib" w:id="3"/>
      <w:bookmarkEnd w:id="3"/>
      <w:r w:rsidDel="00000000" w:rsidR="00000000" w:rsidRPr="00000000">
        <w:rPr>
          <w:b w:val="1"/>
          <w:rtl w:val="0"/>
        </w:rPr>
        <w:t xml:space="preserve">Lower cost of analytics</w:t>
      </w:r>
    </w:p>
    <w:p w:rsidR="00000000" w:rsidDel="00000000" w:rsidP="00000000" w:rsidRDefault="00000000" w:rsidRPr="00000000" w14:paraId="00000014">
      <w:pPr>
        <w:rPr>
          <w:sz w:val="24"/>
          <w:szCs w:val="24"/>
        </w:rPr>
      </w:pPr>
      <w:r w:rsidDel="00000000" w:rsidR="00000000" w:rsidRPr="00000000">
        <w:rPr>
          <w:sz w:val="24"/>
          <w:szCs w:val="24"/>
          <w:rtl w:val="0"/>
        </w:rPr>
        <w:t xml:space="preserve">Once again, there are two ideas to follow:</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5"/>
        </w:numPr>
        <w:ind w:left="720" w:hanging="360"/>
        <w:rPr>
          <w:sz w:val="24"/>
          <w:szCs w:val="24"/>
          <w:u w:val="none"/>
        </w:rPr>
      </w:pPr>
      <w:commentRangeStart w:id="1"/>
      <w:r w:rsidDel="00000000" w:rsidR="00000000" w:rsidRPr="00000000">
        <w:rPr>
          <w:b w:val="1"/>
          <w:sz w:val="24"/>
          <w:szCs w:val="24"/>
          <w:rtl w:val="0"/>
        </w:rPr>
        <w:t xml:space="preserve">Migrate off of Yield Book </w:t>
      </w:r>
      <w:commentRangeEnd w:id="1"/>
      <w:r w:rsidDel="00000000" w:rsidR="00000000" w:rsidRPr="00000000">
        <w:commentReference w:id="1"/>
      </w:r>
      <w:r w:rsidDel="00000000" w:rsidR="00000000" w:rsidRPr="00000000">
        <w:rPr>
          <w:b w:val="1"/>
          <w:sz w:val="24"/>
          <w:szCs w:val="24"/>
          <w:rtl w:val="0"/>
        </w:rPr>
        <w:t xml:space="preserve">for pricing, hedging and risk services. </w:t>
      </w:r>
      <w:r w:rsidDel="00000000" w:rsidR="00000000" w:rsidRPr="00000000">
        <w:rPr>
          <w:sz w:val="24"/>
          <w:szCs w:val="24"/>
          <w:rtl w:val="0"/>
        </w:rPr>
        <w:t xml:space="preserve">There will still be some instances of YB running to provide PMs with some insight into how the “market” (as represented by YB) is valuing certain bonds </w:t>
      </w:r>
    </w:p>
    <w:p w:rsidR="00000000" w:rsidDel="00000000" w:rsidP="00000000" w:rsidRDefault="00000000" w:rsidRPr="00000000" w14:paraId="00000017">
      <w:pPr>
        <w:numPr>
          <w:ilvl w:val="0"/>
          <w:numId w:val="5"/>
        </w:numPr>
        <w:ind w:left="720" w:hanging="360"/>
        <w:rPr>
          <w:b w:val="1"/>
          <w:sz w:val="24"/>
          <w:szCs w:val="24"/>
        </w:rPr>
      </w:pPr>
      <w:r w:rsidDel="00000000" w:rsidR="00000000" w:rsidRPr="00000000">
        <w:rPr>
          <w:b w:val="1"/>
          <w:sz w:val="24"/>
          <w:szCs w:val="24"/>
          <w:rtl w:val="0"/>
        </w:rPr>
        <w:t xml:space="preserve">Create SymphonyASP: </w:t>
      </w:r>
      <w:r w:rsidDel="00000000" w:rsidR="00000000" w:rsidRPr="00000000">
        <w:rPr>
          <w:sz w:val="24"/>
          <w:szCs w:val="24"/>
          <w:rtl w:val="0"/>
        </w:rPr>
        <w:t xml:space="preserve">Deploy Symphony as a turnkey ASP service to Cello Investments to meet all their needs for Structured Products Pricing, Hedging, Risk Management and Research on an intra-day and overnight basis. Creating SymphonyASP will give us the ability to scale the service to other FI clients and therefore lower the cost structure over time. Needless to say, this is a more </w:t>
      </w:r>
      <w:commentRangeStart w:id="2"/>
      <w:r w:rsidDel="00000000" w:rsidR="00000000" w:rsidRPr="00000000">
        <w:rPr>
          <w:sz w:val="24"/>
          <w:szCs w:val="24"/>
          <w:rtl w:val="0"/>
        </w:rPr>
        <w:t xml:space="preserve">long-term solution</w:t>
      </w:r>
      <w:commentRangeEnd w:id="2"/>
      <w:r w:rsidDel="00000000" w:rsidR="00000000" w:rsidRPr="00000000">
        <w:commentReference w:id="2"/>
      </w:r>
      <w:r w:rsidDel="00000000" w:rsidR="00000000" w:rsidRPr="00000000">
        <w:rPr>
          <w:sz w:val="24"/>
          <w:szCs w:val="24"/>
          <w:rtl w:val="0"/>
        </w:rPr>
        <w:t xml:space="preserve"> to lowering prices.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In terms of thinking through the final target spend we are aiming to achieve, based on discussions with market participants, it appears that the long-range pricing of SymphonyASP should be ~$60K per license per year. We should also assume that Cello will not pay for more than 3 licenses given the current range of assets it manages. This implies an all-in cost of $180K per year for IT/Research ex data expenses such as Intex, emBS, and Bloomberg.</w:t>
      </w:r>
    </w:p>
    <w:p w:rsidR="00000000" w:rsidDel="00000000" w:rsidP="00000000" w:rsidRDefault="00000000" w:rsidRPr="00000000" w14:paraId="0000001A">
      <w:pPr>
        <w:pStyle w:val="Heading3"/>
        <w:rPr>
          <w:b w:val="1"/>
        </w:rPr>
      </w:pPr>
      <w:bookmarkStart w:colFirst="0" w:colLast="0" w:name="_v8tfhl7e201w" w:id="4"/>
      <w:bookmarkEnd w:id="4"/>
      <w:r w:rsidDel="00000000" w:rsidR="00000000" w:rsidRPr="00000000">
        <w:rPr>
          <w:b w:val="1"/>
          <w:rtl w:val="0"/>
        </w:rPr>
        <w:t xml:space="preserve">Improved Convenience and Flexibility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5"/>
        </w:numPr>
        <w:ind w:left="720" w:hanging="360"/>
        <w:rPr>
          <w:b w:val="1"/>
          <w:sz w:val="24"/>
          <w:szCs w:val="24"/>
        </w:rPr>
      </w:pPr>
      <w:r w:rsidDel="00000000" w:rsidR="00000000" w:rsidRPr="00000000">
        <w:rPr>
          <w:b w:val="1"/>
          <w:sz w:val="24"/>
          <w:szCs w:val="24"/>
          <w:rtl w:val="0"/>
        </w:rPr>
        <w:t xml:space="preserve">Create SymphonyASP: </w:t>
      </w:r>
      <w:r w:rsidDel="00000000" w:rsidR="00000000" w:rsidRPr="00000000">
        <w:rPr>
          <w:sz w:val="24"/>
          <w:szCs w:val="24"/>
          <w:rtl w:val="0"/>
        </w:rPr>
        <w:t xml:space="preserve">Deploy Symphony as a turnkey ASP service to Cello Investments to meet all their needs for Structured Products Pricing, Hedging, Risk Management and Research on an intra-day and</w:t>
      </w:r>
      <w:commentRangeStart w:id="3"/>
      <w:r w:rsidDel="00000000" w:rsidR="00000000" w:rsidRPr="00000000">
        <w:rPr>
          <w:sz w:val="24"/>
          <w:szCs w:val="24"/>
          <w:rtl w:val="0"/>
        </w:rPr>
        <w:t xml:space="preserve"> overnight basis</w:t>
      </w:r>
      <w:commentRangeEnd w:id="3"/>
      <w:r w:rsidDel="00000000" w:rsidR="00000000" w:rsidRPr="00000000">
        <w:commentReference w:id="3"/>
      </w:r>
      <w:r w:rsidDel="00000000" w:rsidR="00000000" w:rsidRPr="00000000">
        <w:rPr>
          <w:sz w:val="24"/>
          <w:szCs w:val="24"/>
          <w:rtl w:val="0"/>
        </w:rPr>
        <w:t xml:space="preserve">.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3"/>
        <w:rPr>
          <w:b w:val="1"/>
        </w:rPr>
      </w:pPr>
      <w:bookmarkStart w:colFirst="0" w:colLast="0" w:name="_zibhnht4gfx4" w:id="5"/>
      <w:bookmarkEnd w:id="5"/>
      <w:r w:rsidDel="00000000" w:rsidR="00000000" w:rsidRPr="00000000">
        <w:rPr>
          <w:b w:val="1"/>
          <w:rtl w:val="0"/>
        </w:rPr>
        <w:t xml:space="preserve">Takeaways: 3 Key Sub-Projects for Client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Install high-quality “open source” MBS models. Prepayment models are the biggest priority but also of non-trivial importance are the other MBS-pricing related models: mortgage rate model, interest rate model, house price model etc.</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Migrate off of Yield Book</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Create Symphony ASP</w:t>
      </w:r>
    </w:p>
    <w:p w:rsidR="00000000" w:rsidDel="00000000" w:rsidP="00000000" w:rsidRDefault="00000000" w:rsidRPr="00000000" w14:paraId="00000023">
      <w:pPr>
        <w:pStyle w:val="Heading2"/>
        <w:rPr>
          <w:b w:val="1"/>
        </w:rPr>
      </w:pPr>
      <w:bookmarkStart w:colFirst="0" w:colLast="0" w:name="_xk6f2u901k05" w:id="6"/>
      <w:bookmarkEnd w:id="6"/>
      <w:r w:rsidDel="00000000" w:rsidR="00000000" w:rsidRPr="00000000">
        <w:rPr>
          <w:b w:val="1"/>
          <w:rtl w:val="0"/>
        </w:rPr>
        <w:t xml:space="preserve">Goal B. Acquire and Serve Other Clients</w:t>
      </w:r>
    </w:p>
    <w:p w:rsidR="00000000" w:rsidDel="00000000" w:rsidP="00000000" w:rsidRDefault="00000000" w:rsidRPr="00000000" w14:paraId="00000024">
      <w:pPr>
        <w:rPr>
          <w:sz w:val="24"/>
          <w:szCs w:val="24"/>
        </w:rPr>
      </w:pPr>
      <w:r w:rsidDel="00000000" w:rsidR="00000000" w:rsidRPr="00000000">
        <w:rPr>
          <w:sz w:val="24"/>
          <w:szCs w:val="24"/>
          <w:rtl w:val="0"/>
        </w:rPr>
        <w:t xml:space="preserve">This is much harder to scope out since by definition it is somewhat open-ended. Still, meeting the goals of Client #1 imposes some constraints on the possibilities.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The approach followed vis-a-vis Client #1:Cello Investments essentially means that our services are somewhat configured to the situation where the client is paying for Intex and eMBS data. Another observation is that having Cello Investments as an anchor client implies that we will have to carefully resource manage adding on the second client. In particular, the product that we choose to offer to them will likely need to be an organic and relatively easy-to-manage extension of what we’re building for Cello Investments. Finally, Cello Analytics will need to be established as a standalone entity at some point with a well-defined “Chinese Wall” with respect to Cello Investments for us to credibly onboard other clients. The actual decision to launch can probably wait until some sort of agreement is imminent.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Roughly speaking, there seem to be two possibilities in terms of client acquisition: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rPr>
          <w:sz w:val="24"/>
          <w:szCs w:val="24"/>
          <w:u w:val="none"/>
        </w:rPr>
      </w:pPr>
      <w:r w:rsidDel="00000000" w:rsidR="00000000" w:rsidRPr="00000000">
        <w:rPr>
          <w:b w:val="1"/>
          <w:sz w:val="24"/>
          <w:szCs w:val="24"/>
          <w:rtl w:val="0"/>
        </w:rPr>
        <w:t xml:space="preserve">Client #2.</w:t>
      </w:r>
      <w:r w:rsidDel="00000000" w:rsidR="00000000" w:rsidRPr="00000000">
        <w:rPr>
          <w:sz w:val="24"/>
          <w:szCs w:val="24"/>
          <w:rtl w:val="0"/>
        </w:rPr>
        <w:t xml:space="preserve"> Focus on just adding one client: enter into an agreement with a single entity whereby we design a set of services that fits their needs. Almost by definition, a high degree of customization is anticipated in this engagement since we do not anticipate any off-the-shelf application like SymphonyASP being “market ready” for at least a couple of years. </w:t>
      </w:r>
    </w:p>
    <w:p w:rsidR="00000000" w:rsidDel="00000000" w:rsidP="00000000" w:rsidRDefault="00000000" w:rsidRPr="00000000" w14:paraId="0000002B">
      <w:pPr>
        <w:numPr>
          <w:ilvl w:val="0"/>
          <w:numId w:val="3"/>
        </w:numPr>
        <w:ind w:left="720" w:hanging="360"/>
        <w:rPr>
          <w:sz w:val="24"/>
          <w:szCs w:val="24"/>
          <w:u w:val="none"/>
        </w:rPr>
      </w:pPr>
      <w:r w:rsidDel="00000000" w:rsidR="00000000" w:rsidRPr="00000000">
        <w:rPr>
          <w:b w:val="1"/>
          <w:sz w:val="24"/>
          <w:szCs w:val="24"/>
          <w:rtl w:val="0"/>
        </w:rPr>
        <w:t xml:space="preserve">Multiple Clients.</w:t>
      </w:r>
      <w:r w:rsidDel="00000000" w:rsidR="00000000" w:rsidRPr="00000000">
        <w:rPr>
          <w:sz w:val="24"/>
          <w:szCs w:val="24"/>
          <w:rtl w:val="0"/>
        </w:rPr>
        <w:t xml:space="preserve"> Focus on adding several clients: enter into an agreement with an analytics and/or data portal (Bloomberg, eMBS, Intex, RiskVal) whereby we offer some generic service (for ex., short-term prepayment forecasts) that provides value to all of their clients.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Given the accelerated time frames involved, both paths should almost almost definitely be initially based on pre-existing relationships and direct solicitation. If there is no light at the end of the tunnel by 2018 we may consider a broader approach that involves advertising (setting up a website and other measures) and/or hiring salespeople.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It is hard to say much else given that we don’t have a sense for what services we offer would be considered value-added by the market. Intuitively, it seems like the Client #2 path seems to be better choice given that the Multiple Client path will inevitably spawn issues of expansion and support. Given that senior leaders are also hands-on contributors there’s only so much bandwidth that they can contribute to strategy generation and execution. Adding just Client #2 would allow us to hone in and focus on just executing for the next 2-3 years at a minimum for two clients. At that point, we would take a fresh look and reassess.</w:t>
      </w:r>
    </w:p>
    <w:p w:rsidR="00000000" w:rsidDel="00000000" w:rsidP="00000000" w:rsidRDefault="00000000" w:rsidRPr="00000000" w14:paraId="00000030">
      <w:pPr>
        <w:pStyle w:val="Heading2"/>
        <w:rPr>
          <w:b w:val="1"/>
        </w:rPr>
      </w:pPr>
      <w:bookmarkStart w:colFirst="0" w:colLast="0" w:name="_ngwtzv0xy11" w:id="7"/>
      <w:bookmarkEnd w:id="7"/>
      <w:r w:rsidDel="00000000" w:rsidR="00000000" w:rsidRPr="00000000">
        <w:rPr>
          <w:b w:val="1"/>
          <w:rtl w:val="0"/>
        </w:rPr>
        <w:t xml:space="preserve">Next Steps</w:t>
      </w:r>
    </w:p>
    <w:p w:rsidR="00000000" w:rsidDel="00000000" w:rsidP="00000000" w:rsidRDefault="00000000" w:rsidRPr="00000000" w14:paraId="00000031">
      <w:pPr>
        <w:numPr>
          <w:ilvl w:val="0"/>
          <w:numId w:val="4"/>
        </w:numPr>
        <w:ind w:left="720" w:hanging="360"/>
        <w:rPr>
          <w:sz w:val="24"/>
          <w:szCs w:val="24"/>
          <w:u w:val="none"/>
        </w:rPr>
      </w:pPr>
      <w:r w:rsidDel="00000000" w:rsidR="00000000" w:rsidRPr="00000000">
        <w:rPr>
          <w:sz w:val="24"/>
          <w:szCs w:val="24"/>
          <w:rtl w:val="0"/>
        </w:rPr>
        <w:t xml:space="preserve">Cello Investments: Identify quarterly milestones for each of the three key sub-projects.</w:t>
      </w:r>
    </w:p>
    <w:p w:rsidR="00000000" w:rsidDel="00000000" w:rsidP="00000000" w:rsidRDefault="00000000" w:rsidRPr="00000000" w14:paraId="00000032">
      <w:pPr>
        <w:numPr>
          <w:ilvl w:val="0"/>
          <w:numId w:val="4"/>
        </w:numPr>
        <w:ind w:left="720" w:hanging="360"/>
        <w:rPr>
          <w:sz w:val="24"/>
          <w:szCs w:val="24"/>
          <w:u w:val="none"/>
        </w:rPr>
      </w:pPr>
      <w:r w:rsidDel="00000000" w:rsidR="00000000" w:rsidRPr="00000000">
        <w:rPr>
          <w:sz w:val="24"/>
          <w:szCs w:val="24"/>
          <w:rtl w:val="0"/>
        </w:rPr>
        <w:t xml:space="preserve">Discuss implications of separating Cello Investments from Cello Analytics among partners: IP, how proprietary customizations are to be accomplished, Chun-nip role (he is effectively working on both sides right now) etc.</w:t>
      </w:r>
    </w:p>
    <w:p w:rsidR="00000000" w:rsidDel="00000000" w:rsidP="00000000" w:rsidRDefault="00000000" w:rsidRPr="00000000" w14:paraId="00000033">
      <w:pPr>
        <w:numPr>
          <w:ilvl w:val="0"/>
          <w:numId w:val="4"/>
        </w:numPr>
        <w:ind w:left="720" w:hanging="360"/>
        <w:rPr>
          <w:sz w:val="24"/>
          <w:szCs w:val="24"/>
          <w:u w:val="none"/>
        </w:rPr>
      </w:pPr>
      <w:r w:rsidDel="00000000" w:rsidR="00000000" w:rsidRPr="00000000">
        <w:rPr>
          <w:sz w:val="24"/>
          <w:szCs w:val="24"/>
          <w:rtl w:val="0"/>
        </w:rPr>
        <w:t xml:space="preserve"> Each of the partners will focus on meeting potential candidates for the Client #2/Multiple Client paths based on their personal rolodex. Log the information content of these discussions in an accessible location. Periodically reassess where we are with respect to Goal B.</w:t>
      </w:r>
    </w:p>
    <w:p w:rsidR="00000000" w:rsidDel="00000000" w:rsidP="00000000" w:rsidRDefault="00000000" w:rsidRPr="00000000" w14:paraId="00000034">
      <w:pPr>
        <w:numPr>
          <w:ilvl w:val="0"/>
          <w:numId w:val="4"/>
        </w:numPr>
        <w:ind w:left="720" w:hanging="360"/>
        <w:rPr>
          <w:sz w:val="24"/>
          <w:szCs w:val="24"/>
          <w:u w:val="none"/>
        </w:rPr>
      </w:pPr>
      <w:r w:rsidDel="00000000" w:rsidR="00000000" w:rsidRPr="00000000">
        <w:rPr>
          <w:sz w:val="24"/>
          <w:szCs w:val="24"/>
          <w:rtl w:val="0"/>
        </w:rPr>
        <w:t xml:space="preserve">Establish how long it would take to set up Cello Analytics as a standalone entity. This may or may not be an obstacle if someone is interested in forging an agreement sooner rather than later. </w:t>
      </w: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rek Ho" w:id="1" w:date="2018-02-08T20:55:07Z">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migrate MBS pricing off YB this year, but we don't have plan to handle hedges in 2018 yet.  Do we want to partner with RiskVal since they are the interest rate experts.</w:t>
      </w:r>
    </w:p>
  </w:comment>
  <w:comment w:author="Derek Ho" w:id="0" w:date="2018-02-08T21:21:22Z">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Whitebox is different from open source. "A main principle of open-source software development is peer production, with products such as source code, blueprints, and documentation freely available to the public. The open-source movement in software began as a response to the limitations of proprietary code".  https://en.wikipedia.org/wiki/Open-source_model</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using a different term to avoid confusion.</w:t>
      </w:r>
    </w:p>
  </w:comment>
  <w:comment w:author="Derek Ho" w:id="2" w:date="2018-02-08T20:58:16Z">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Symphony UI can already be deployed to clients desktop assuming the Cloud engine and DB is setup.</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Delivering overnight risks and report through Symphony is not expected to be implemented in 2018</w:t>
      </w:r>
    </w:p>
  </w:comment>
  <w:comment w:author="Derek Ho" w:id="3" w:date="2018-02-08T20:27:59Z">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let user visualize the data in the similar way as Tableau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needs further debate. It can be argued that the proprietary edge results from having complete control over every aspect of model generation from specification, to the selection of the data sets used in the fits, to the estimation process itself. Providing this degree of flexibility would be a highly non-trivial project. In general, we need to delve into what it really means to “open source” models otherwise we risk repeating the history of YB.</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