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21st Century Analytics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 for value-added services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integration of data, analytics, visualization and reporting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architecture: clients can easily layer in empirical (access to library of ML algorithms, cf DataRobot) and fundamental models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Rapid iteration cycles: Models and platforms are expected to process structural changes rapidly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Mobile: Available across multiple platforms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20th Century Analytics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 for CPU, pay for GUI, pay for Add-ins, pay for individual models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Loose and selective integration of data, analytics and modeling. Limited capabilities in visualizing data.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Proprietary architectures and models that are difficult to modify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iteration cycles that span months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Symphony Feature Set</w:t>
      </w:r>
    </w:p>
    <w:p w:rsidR="00000000" w:rsidDel="00000000" w:rsidP="00000000" w:rsidRDefault="00000000" w:rsidRPr="00000000" w14:paraId="0000000F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Single Security Analysis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Agency Fixed-rate CMOs, Pools, TBAs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Whole loan CMOs and ARMs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ABS Securities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Treasuries and Swaps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Calculators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OAS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Matrix P/Y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WAL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Hedge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Deal Structure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Arb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Models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Prepayment models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Interest rate models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Portfolio Calculators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runs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Rate of return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Daily offerings loaded into portfolio tools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Saving and retrieving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Additional Tools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Chartbook: historical time-series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Chartbuilder: users create their own charts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Livetracker: Monitor TBA stack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Up-in-coupon, Coupon Swaps, and 15-30 year swaps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Reports page for market summaries, offering, commentary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Prepayments and surveillance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Additional Features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Live curves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Historical curves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Modify curve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Report creation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Collateral snapshot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Cash flow graphs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Trader color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 holdings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20-year Vision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One-stop open architecture multi-platform adaptive structured products application that fully integrates data, analytics, visualization and reporting.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One-stop</w:t>
      </w:r>
      <w:r w:rsidDel="00000000" w:rsidR="00000000" w:rsidRPr="00000000">
        <w:rPr>
          <w:sz w:val="28"/>
          <w:szCs w:val="28"/>
          <w:rtl w:val="0"/>
        </w:rPr>
        <w:t xml:space="preserve">: Accessible to Portfolio Managers, Traders, Salespeople, and Research Analysts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Open architecture</w:t>
      </w:r>
      <w:r w:rsidDel="00000000" w:rsidR="00000000" w:rsidRPr="00000000">
        <w:rPr>
          <w:sz w:val="28"/>
          <w:szCs w:val="28"/>
          <w:rtl w:val="0"/>
        </w:rPr>
        <w:t xml:space="preserve">: Clients can easily layer in their own empirical (access to library of ML algorithms) and fundamental models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Multi-platform: </w:t>
      </w:r>
      <w:r w:rsidDel="00000000" w:rsidR="00000000" w:rsidRPr="00000000">
        <w:rPr>
          <w:sz w:val="28"/>
          <w:szCs w:val="28"/>
          <w:rtl w:val="0"/>
        </w:rPr>
        <w:t xml:space="preserve">Available across a range of operating systems and devices (mobile to desktop)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Adaptive: </w:t>
      </w:r>
      <w:r w:rsidDel="00000000" w:rsidR="00000000" w:rsidRPr="00000000">
        <w:rPr>
          <w:sz w:val="28"/>
          <w:szCs w:val="28"/>
          <w:rtl w:val="0"/>
        </w:rPr>
        <w:t xml:space="preserve">The application is refreshed on a timely basis to incorporate market developments, model improvements, new features etc.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Structured products platform:</w:t>
      </w:r>
      <w:r w:rsidDel="00000000" w:rsidR="00000000" w:rsidRPr="00000000">
        <w:rPr>
          <w:sz w:val="28"/>
          <w:szCs w:val="28"/>
          <w:rtl w:val="0"/>
        </w:rPr>
        <w:t xml:space="preserve"> Comprehensive coverage of  structured products and benchmark fixed income securities along with customized views for each product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Full integration: </w:t>
      </w:r>
      <w:r w:rsidDel="00000000" w:rsidR="00000000" w:rsidRPr="00000000">
        <w:rPr>
          <w:sz w:val="28"/>
          <w:szCs w:val="28"/>
          <w:rtl w:val="0"/>
        </w:rPr>
        <w:t xml:space="preserve">Create customized data views, apply the models to these views, report your results.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