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222222"/>
          <w:sz w:val="24"/>
          <w:szCs w:val="24"/>
          <w:highlight w:val="white"/>
        </w:rPr>
      </w:pPr>
      <w:r w:rsidDel="00000000" w:rsidR="00000000" w:rsidRPr="00000000">
        <w:rPr>
          <w:b w:val="1"/>
          <w:color w:val="222222"/>
          <w:sz w:val="24"/>
          <w:szCs w:val="24"/>
          <w:highlight w:val="white"/>
          <w:rtl w:val="0"/>
        </w:rPr>
        <w:t xml:space="preserve">What should be versioned?</w:t>
      </w:r>
    </w:p>
    <w:p w:rsidR="00000000" w:rsidDel="00000000" w:rsidP="00000000" w:rsidRDefault="00000000" w:rsidRPr="00000000" w14:paraId="00000002">
      <w:pPr>
        <w:rPr>
          <w:color w:val="222222"/>
          <w:sz w:val="24"/>
          <w:szCs w:val="24"/>
          <w:highlight w:val="white"/>
        </w:rPr>
      </w:pPr>
      <w:r w:rsidDel="00000000" w:rsidR="00000000" w:rsidRPr="00000000">
        <w:rPr>
          <w:color w:val="222222"/>
          <w:sz w:val="24"/>
          <w:szCs w:val="24"/>
          <w:highlight w:val="white"/>
          <w:rtl w:val="0"/>
        </w:rPr>
        <w:t xml:space="preserve">The following versioning scheme is relatively easy to track for both producers and consumers? At a conceptual level, we can think of Research as maintaining three large software projects:</w:t>
      </w:r>
    </w:p>
    <w:p w:rsidR="00000000" w:rsidDel="00000000" w:rsidP="00000000" w:rsidRDefault="00000000" w:rsidRPr="00000000" w14:paraId="00000003">
      <w:pPr>
        <w:rPr>
          <w:color w:val="222222"/>
          <w:sz w:val="24"/>
          <w:szCs w:val="24"/>
          <w:highlight w:val="white"/>
        </w:rPr>
      </w:pPr>
      <w:r w:rsidDel="00000000" w:rsidR="00000000" w:rsidRPr="00000000">
        <w:rPr>
          <w:rtl w:val="0"/>
        </w:rPr>
      </w:r>
    </w:p>
    <w:p w:rsidR="00000000" w:rsidDel="00000000" w:rsidP="00000000" w:rsidRDefault="00000000" w:rsidRPr="00000000" w14:paraId="00000004">
      <w:pPr>
        <w:numPr>
          <w:ilvl w:val="0"/>
          <w:numId w:val="1"/>
        </w:numPr>
        <w:ind w:left="940" w:hanging="360"/>
        <w:rPr>
          <w:sz w:val="24"/>
          <w:szCs w:val="24"/>
        </w:rPr>
      </w:pPr>
      <w:r w:rsidDel="00000000" w:rsidR="00000000" w:rsidRPr="00000000">
        <w:rPr>
          <w:color w:val="222222"/>
          <w:sz w:val="24"/>
          <w:szCs w:val="24"/>
          <w:rtl w:val="0"/>
        </w:rPr>
        <w:t xml:space="preserve">ScaleDB: Proprietary loan- and pool-level metrics</w:t>
      </w:r>
    </w:p>
    <w:p w:rsidR="00000000" w:rsidDel="00000000" w:rsidP="00000000" w:rsidRDefault="00000000" w:rsidRPr="00000000" w14:paraId="00000005">
      <w:pPr>
        <w:numPr>
          <w:ilvl w:val="0"/>
          <w:numId w:val="1"/>
        </w:numPr>
        <w:ind w:left="940" w:hanging="360"/>
        <w:rPr>
          <w:sz w:val="24"/>
          <w:szCs w:val="24"/>
        </w:rPr>
      </w:pPr>
      <w:r w:rsidDel="00000000" w:rsidR="00000000" w:rsidRPr="00000000">
        <w:rPr>
          <w:color w:val="222222"/>
          <w:sz w:val="24"/>
          <w:szCs w:val="24"/>
          <w:rtl w:val="0"/>
        </w:rPr>
        <w:t xml:space="preserve">Baton: Prepayment models</w:t>
      </w:r>
    </w:p>
    <w:p w:rsidR="00000000" w:rsidDel="00000000" w:rsidP="00000000" w:rsidRDefault="00000000" w:rsidRPr="00000000" w14:paraId="00000006">
      <w:pPr>
        <w:numPr>
          <w:ilvl w:val="0"/>
          <w:numId w:val="1"/>
        </w:numPr>
        <w:ind w:left="940" w:hanging="360"/>
        <w:rPr>
          <w:sz w:val="24"/>
          <w:szCs w:val="24"/>
        </w:rPr>
      </w:pPr>
      <w:r w:rsidDel="00000000" w:rsidR="00000000" w:rsidRPr="00000000">
        <w:rPr>
          <w:color w:val="222222"/>
          <w:sz w:val="24"/>
          <w:szCs w:val="24"/>
          <w:rtl w:val="0"/>
        </w:rPr>
        <w:t xml:space="preserve">Scale: All mortgage-modeling related analytics not related to prepayment modeling (i.e., the interest rate model, house price model, current coupon model etc.)</w:t>
      </w:r>
    </w:p>
    <w:p w:rsidR="00000000" w:rsidDel="00000000" w:rsidP="00000000" w:rsidRDefault="00000000" w:rsidRPr="00000000" w14:paraId="00000007">
      <w:pPr>
        <w:rPr>
          <w:color w:val="222222"/>
          <w:sz w:val="24"/>
          <w:szCs w:val="24"/>
        </w:rPr>
      </w:pPr>
      <w:r w:rsidDel="00000000" w:rsidR="00000000" w:rsidRPr="00000000">
        <w:rPr>
          <w:rtl w:val="0"/>
        </w:rPr>
      </w:r>
    </w:p>
    <w:p w:rsidR="00000000" w:rsidDel="00000000" w:rsidP="00000000" w:rsidRDefault="00000000" w:rsidRPr="00000000" w14:paraId="00000008">
      <w:pPr>
        <w:rPr>
          <w:color w:val="222222"/>
          <w:sz w:val="24"/>
          <w:szCs w:val="24"/>
        </w:rPr>
      </w:pPr>
      <w:r w:rsidDel="00000000" w:rsidR="00000000" w:rsidRPr="00000000">
        <w:rPr>
          <w:color w:val="222222"/>
          <w:sz w:val="24"/>
          <w:szCs w:val="24"/>
          <w:rtl w:val="0"/>
        </w:rPr>
        <w:t xml:space="preserve">Now, any changes to ScaleDB are usually in the service of improving some aspect of the prepayment model so changes to ScaleDB can be subsumed under changes to Baton.</w:t>
      </w:r>
    </w:p>
    <w:p w:rsidR="00000000" w:rsidDel="00000000" w:rsidP="00000000" w:rsidRDefault="00000000" w:rsidRPr="00000000" w14:paraId="00000009">
      <w:pPr>
        <w:rPr>
          <w:color w:val="222222"/>
          <w:sz w:val="24"/>
          <w:szCs w:val="24"/>
        </w:rPr>
      </w:pPr>
      <w:r w:rsidDel="00000000" w:rsidR="00000000" w:rsidRPr="00000000">
        <w:rPr>
          <w:rtl w:val="0"/>
        </w:rPr>
      </w:r>
    </w:p>
    <w:p w:rsidR="00000000" w:rsidDel="00000000" w:rsidP="00000000" w:rsidRDefault="00000000" w:rsidRPr="00000000" w14:paraId="0000000A">
      <w:pPr>
        <w:rPr>
          <w:color w:val="222222"/>
          <w:sz w:val="24"/>
          <w:szCs w:val="24"/>
          <w:u w:val="single"/>
        </w:rPr>
      </w:pPr>
      <w:r w:rsidDel="00000000" w:rsidR="00000000" w:rsidRPr="00000000">
        <w:rPr>
          <w:color w:val="222222"/>
          <w:sz w:val="24"/>
          <w:szCs w:val="24"/>
          <w:u w:val="single"/>
          <w:rtl w:val="0"/>
        </w:rPr>
        <w:t xml:space="preserve">Hence, we should only care about versioning Baton (currently v3.00) and Scale (currently v5.20). </w:t>
      </w:r>
    </w:p>
    <w:p w:rsidR="00000000" w:rsidDel="00000000" w:rsidP="00000000" w:rsidRDefault="00000000" w:rsidRPr="00000000" w14:paraId="0000000B">
      <w:pPr>
        <w:rPr>
          <w:color w:val="222222"/>
          <w:sz w:val="24"/>
          <w:szCs w:val="24"/>
        </w:rPr>
      </w:pPr>
      <w:r w:rsidDel="00000000" w:rsidR="00000000" w:rsidRPr="00000000">
        <w:rPr>
          <w:rtl w:val="0"/>
        </w:rPr>
      </w:r>
    </w:p>
    <w:p w:rsidR="00000000" w:rsidDel="00000000" w:rsidP="00000000" w:rsidRDefault="00000000" w:rsidRPr="00000000" w14:paraId="0000000C">
      <w:pPr>
        <w:rPr>
          <w:color w:val="222222"/>
          <w:sz w:val="24"/>
          <w:szCs w:val="24"/>
        </w:rPr>
      </w:pPr>
      <w:r w:rsidDel="00000000" w:rsidR="00000000" w:rsidRPr="00000000">
        <w:rPr>
          <w:color w:val="222222"/>
          <w:sz w:val="24"/>
          <w:szCs w:val="24"/>
          <w:rtl w:val="0"/>
        </w:rPr>
        <w:t xml:space="preserve">Counterexample: GPL prepayment model. Technically, we should bring this under Baton but it may take a while to do so and we also need to know whether Chun-nip prefers keeping it separate for now.</w:t>
      </w:r>
    </w:p>
    <w:p w:rsidR="00000000" w:rsidDel="00000000" w:rsidP="00000000" w:rsidRDefault="00000000" w:rsidRPr="00000000" w14:paraId="0000000D">
      <w:pPr>
        <w:rPr>
          <w:color w:val="222222"/>
          <w:sz w:val="24"/>
          <w:szCs w:val="24"/>
        </w:rPr>
      </w:pPr>
      <w:r w:rsidDel="00000000" w:rsidR="00000000" w:rsidRPr="00000000">
        <w:rPr>
          <w:rtl w:val="0"/>
        </w:rPr>
      </w:r>
    </w:p>
    <w:p w:rsidR="00000000" w:rsidDel="00000000" w:rsidP="00000000" w:rsidRDefault="00000000" w:rsidRPr="00000000" w14:paraId="0000000E">
      <w:pPr>
        <w:rPr>
          <w:b w:val="1"/>
          <w:color w:val="222222"/>
          <w:sz w:val="24"/>
          <w:szCs w:val="24"/>
          <w:highlight w:val="white"/>
        </w:rPr>
      </w:pPr>
      <w:r w:rsidDel="00000000" w:rsidR="00000000" w:rsidRPr="00000000">
        <w:rPr>
          <w:b w:val="1"/>
          <w:color w:val="222222"/>
          <w:sz w:val="24"/>
          <w:szCs w:val="24"/>
          <w:highlight w:val="white"/>
          <w:rtl w:val="0"/>
        </w:rPr>
        <w:t xml:space="preserve">Versioning Scheme</w:t>
      </w:r>
    </w:p>
    <w:p w:rsidR="00000000" w:rsidDel="00000000" w:rsidP="00000000" w:rsidRDefault="00000000" w:rsidRPr="00000000" w14:paraId="0000000F">
      <w:pPr>
        <w:rPr>
          <w:color w:val="222222"/>
          <w:sz w:val="24"/>
          <w:szCs w:val="24"/>
          <w:highlight w:val="white"/>
        </w:rPr>
      </w:pPr>
      <w:r w:rsidDel="00000000" w:rsidR="00000000" w:rsidRPr="00000000">
        <w:rPr>
          <w:color w:val="222222"/>
          <w:sz w:val="24"/>
          <w:szCs w:val="24"/>
          <w:highlight w:val="white"/>
          <w:rtl w:val="0"/>
        </w:rPr>
        <w:t xml:space="preserve">Our</w:t>
      </w:r>
      <w:r w:rsidDel="00000000" w:rsidR="00000000" w:rsidRPr="00000000">
        <w:rPr>
          <w:color w:val="222222"/>
          <w:sz w:val="24"/>
          <w:szCs w:val="24"/>
          <w:highlight w:val="white"/>
          <w:rtl w:val="0"/>
        </w:rPr>
        <w:t xml:space="preserve"> current release numbering is of the form </w:t>
      </w:r>
      <w:r w:rsidDel="00000000" w:rsidR="00000000" w:rsidRPr="00000000">
        <w:rPr>
          <w:rFonts w:ascii="Courier New" w:cs="Courier New" w:eastAsia="Courier New" w:hAnsi="Courier New"/>
          <w:color w:val="222222"/>
          <w:sz w:val="24"/>
          <w:szCs w:val="24"/>
          <w:highlight w:val="white"/>
          <w:rtl w:val="0"/>
        </w:rPr>
        <w:t xml:space="preserve">x.yy</w:t>
      </w:r>
      <w:r w:rsidDel="00000000" w:rsidR="00000000" w:rsidRPr="00000000">
        <w:rPr>
          <w:color w:val="222222"/>
          <w:sz w:val="24"/>
          <w:szCs w:val="24"/>
          <w:highlight w:val="white"/>
          <w:rtl w:val="0"/>
        </w:rPr>
        <w:t xml:space="preserve"> with the convention that it represents </w:t>
      </w:r>
      <w:r w:rsidDel="00000000" w:rsidR="00000000" w:rsidRPr="00000000">
        <w:rPr>
          <w:rFonts w:ascii="Courier New" w:cs="Courier New" w:eastAsia="Courier New" w:hAnsi="Courier New"/>
          <w:color w:val="222222"/>
          <w:sz w:val="24"/>
          <w:szCs w:val="24"/>
          <w:highlight w:val="white"/>
          <w:rtl w:val="0"/>
        </w:rPr>
        <w:t xml:space="preserve">&lt;major&gt;.&lt;minor&gt;&lt;patch&gt;</w:t>
      </w:r>
      <w:r w:rsidDel="00000000" w:rsidR="00000000" w:rsidRPr="00000000">
        <w:rPr>
          <w:color w:val="222222"/>
          <w:sz w:val="24"/>
          <w:szCs w:val="24"/>
          <w:highlight w:val="white"/>
          <w:rtl w:val="0"/>
        </w:rPr>
        <w:t xml:space="preserve">. Henceforth:</w:t>
      </w:r>
    </w:p>
    <w:p w:rsidR="00000000" w:rsidDel="00000000" w:rsidP="00000000" w:rsidRDefault="00000000" w:rsidRPr="00000000" w14:paraId="00000010">
      <w:pPr>
        <w:rPr>
          <w:color w:val="222222"/>
          <w:sz w:val="24"/>
          <w:szCs w:val="24"/>
          <w:highlight w:val="white"/>
        </w:rPr>
      </w:pPr>
      <w:r w:rsidDel="00000000" w:rsidR="00000000" w:rsidRPr="00000000">
        <w:rPr>
          <w:rtl w:val="0"/>
        </w:rPr>
      </w:r>
    </w:p>
    <w:p w:rsidR="00000000" w:rsidDel="00000000" w:rsidP="00000000" w:rsidRDefault="00000000" w:rsidRPr="00000000" w14:paraId="00000011">
      <w:pPr>
        <w:rPr>
          <w:color w:val="222222"/>
          <w:sz w:val="24"/>
          <w:szCs w:val="24"/>
        </w:rPr>
      </w:pPr>
      <w:r w:rsidDel="00000000" w:rsidR="00000000" w:rsidRPr="00000000">
        <w:rPr>
          <w:rFonts w:ascii="Courier New" w:cs="Courier New" w:eastAsia="Courier New" w:hAnsi="Courier New"/>
          <w:color w:val="222222"/>
          <w:sz w:val="24"/>
          <w:szCs w:val="24"/>
          <w:rtl w:val="0"/>
        </w:rPr>
        <w:t xml:space="preserve">&lt;major&gt;</w:t>
      </w:r>
      <w:r w:rsidDel="00000000" w:rsidR="00000000" w:rsidRPr="00000000">
        <w:rPr>
          <w:color w:val="222222"/>
          <w:sz w:val="24"/>
          <w:szCs w:val="24"/>
          <w:rtl w:val="0"/>
        </w:rPr>
        <w:t xml:space="preserve"> indexes changes in model specification: either the addition of new parameters to the JSON file or changes in model dynamics.</w:t>
      </w:r>
    </w:p>
    <w:p w:rsidR="00000000" w:rsidDel="00000000" w:rsidP="00000000" w:rsidRDefault="00000000" w:rsidRPr="00000000" w14:paraId="00000012">
      <w:pPr>
        <w:rPr>
          <w:color w:val="222222"/>
          <w:sz w:val="24"/>
          <w:szCs w:val="24"/>
        </w:rPr>
      </w:pPr>
      <w:r w:rsidDel="00000000" w:rsidR="00000000" w:rsidRPr="00000000">
        <w:rPr>
          <w:rFonts w:ascii="Courier New" w:cs="Courier New" w:eastAsia="Courier New" w:hAnsi="Courier New"/>
          <w:color w:val="222222"/>
          <w:sz w:val="24"/>
          <w:szCs w:val="24"/>
          <w:rtl w:val="0"/>
        </w:rPr>
        <w:t xml:space="preserve">&lt;minor&gt;</w:t>
      </w:r>
      <w:r w:rsidDel="00000000" w:rsidR="00000000" w:rsidRPr="00000000">
        <w:rPr>
          <w:color w:val="222222"/>
          <w:sz w:val="24"/>
          <w:szCs w:val="24"/>
          <w:rtl w:val="0"/>
        </w:rPr>
        <w:t xml:space="preserve"> indexes changes in model parameters while keeping the model specification fixed (i.e., there’s no change to the structure of the JSON file but the values in the JSON file can change)</w:t>
      </w:r>
    </w:p>
    <w:p w:rsidR="00000000" w:rsidDel="00000000" w:rsidP="00000000" w:rsidRDefault="00000000" w:rsidRPr="00000000" w14:paraId="00000013">
      <w:pPr>
        <w:rPr>
          <w:color w:val="222222"/>
          <w:sz w:val="24"/>
          <w:szCs w:val="24"/>
        </w:rPr>
      </w:pPr>
      <w:r w:rsidDel="00000000" w:rsidR="00000000" w:rsidRPr="00000000">
        <w:rPr>
          <w:rFonts w:ascii="Courier New" w:cs="Courier New" w:eastAsia="Courier New" w:hAnsi="Courier New"/>
          <w:color w:val="222222"/>
          <w:sz w:val="24"/>
          <w:szCs w:val="24"/>
          <w:rtl w:val="0"/>
        </w:rPr>
        <w:t xml:space="preserve">&lt;patch&gt;</w:t>
      </w:r>
      <w:r w:rsidDel="00000000" w:rsidR="00000000" w:rsidRPr="00000000">
        <w:rPr>
          <w:color w:val="222222"/>
          <w:sz w:val="24"/>
          <w:szCs w:val="24"/>
          <w:rtl w:val="0"/>
        </w:rPr>
        <w:t xml:space="preserve"> indexes bug fixes for a fixed model specification/JSON parameterization</w:t>
      </w:r>
    </w:p>
    <w:p w:rsidR="00000000" w:rsidDel="00000000" w:rsidP="00000000" w:rsidRDefault="00000000" w:rsidRPr="00000000" w14:paraId="00000014">
      <w:pPr>
        <w:rPr>
          <w:color w:val="222222"/>
          <w:sz w:val="24"/>
          <w:szCs w:val="24"/>
        </w:rPr>
      </w:pPr>
      <w:r w:rsidDel="00000000" w:rsidR="00000000" w:rsidRPr="00000000">
        <w:rPr>
          <w:rtl w:val="0"/>
        </w:rPr>
      </w:r>
    </w:p>
    <w:p w:rsidR="00000000" w:rsidDel="00000000" w:rsidP="00000000" w:rsidRDefault="00000000" w:rsidRPr="00000000" w14:paraId="00000015">
      <w:pPr>
        <w:rPr>
          <w:color w:val="222222"/>
          <w:sz w:val="24"/>
          <w:szCs w:val="24"/>
        </w:rPr>
      </w:pPr>
      <w:r w:rsidDel="00000000" w:rsidR="00000000" w:rsidRPr="00000000">
        <w:rPr>
          <w:color w:val="222222"/>
          <w:sz w:val="24"/>
          <w:szCs w:val="24"/>
          <w:rtl w:val="0"/>
        </w:rPr>
        <w:t xml:space="preserve">As noted above, a model change can arise from three different sources:</w:t>
      </w:r>
    </w:p>
    <w:p w:rsidR="00000000" w:rsidDel="00000000" w:rsidP="00000000" w:rsidRDefault="00000000" w:rsidRPr="00000000" w14:paraId="00000016">
      <w:pPr>
        <w:rPr>
          <w:color w:val="222222"/>
          <w:sz w:val="24"/>
          <w:szCs w:val="24"/>
        </w:rPr>
      </w:pPr>
      <w:r w:rsidDel="00000000" w:rsidR="00000000" w:rsidRPr="00000000">
        <w:rPr>
          <w:rtl w:val="0"/>
        </w:rPr>
      </w:r>
    </w:p>
    <w:p w:rsidR="00000000" w:rsidDel="00000000" w:rsidP="00000000" w:rsidRDefault="00000000" w:rsidRPr="00000000" w14:paraId="00000017">
      <w:pPr>
        <w:numPr>
          <w:ilvl w:val="0"/>
          <w:numId w:val="2"/>
        </w:numPr>
        <w:ind w:left="720" w:hanging="360"/>
        <w:rPr>
          <w:color w:val="222222"/>
          <w:sz w:val="24"/>
          <w:szCs w:val="24"/>
          <w:u w:val="none"/>
        </w:rPr>
      </w:pPr>
      <w:r w:rsidDel="00000000" w:rsidR="00000000" w:rsidRPr="00000000">
        <w:rPr>
          <w:color w:val="222222"/>
          <w:sz w:val="24"/>
          <w:szCs w:val="24"/>
          <w:rtl w:val="0"/>
        </w:rPr>
        <w:t xml:space="preserve">C++: A C++ change will automatically increment </w:t>
      </w:r>
      <w:r w:rsidDel="00000000" w:rsidR="00000000" w:rsidRPr="00000000">
        <w:rPr>
          <w:rFonts w:ascii="Courier New" w:cs="Courier New" w:eastAsia="Courier New" w:hAnsi="Courier New"/>
          <w:color w:val="222222"/>
          <w:sz w:val="24"/>
          <w:szCs w:val="24"/>
          <w:rtl w:val="0"/>
        </w:rPr>
        <w:t xml:space="preserve">&lt;major&gt; </w:t>
      </w:r>
    </w:p>
    <w:p w:rsidR="00000000" w:rsidDel="00000000" w:rsidP="00000000" w:rsidRDefault="00000000" w:rsidRPr="00000000" w14:paraId="00000018">
      <w:pPr>
        <w:numPr>
          <w:ilvl w:val="0"/>
          <w:numId w:val="2"/>
        </w:numPr>
        <w:ind w:left="720" w:hanging="360"/>
        <w:rPr>
          <w:color w:val="222222"/>
          <w:sz w:val="24"/>
          <w:szCs w:val="24"/>
          <w:u w:val="none"/>
        </w:rPr>
      </w:pPr>
      <w:r w:rsidDel="00000000" w:rsidR="00000000" w:rsidRPr="00000000">
        <w:rPr>
          <w:color w:val="222222"/>
          <w:sz w:val="24"/>
          <w:szCs w:val="24"/>
          <w:rtl w:val="0"/>
        </w:rPr>
        <w:t xml:space="preserve">JSON: A change in the structure of the JSON file will automatically increment </w:t>
      </w:r>
      <w:r w:rsidDel="00000000" w:rsidR="00000000" w:rsidRPr="00000000">
        <w:rPr>
          <w:rFonts w:ascii="Courier New" w:cs="Courier New" w:eastAsia="Courier New" w:hAnsi="Courier New"/>
          <w:color w:val="222222"/>
          <w:sz w:val="24"/>
          <w:szCs w:val="24"/>
          <w:rtl w:val="0"/>
        </w:rPr>
        <w:t xml:space="preserve">&lt;major&gt;</w:t>
      </w:r>
      <w:r w:rsidDel="00000000" w:rsidR="00000000" w:rsidRPr="00000000">
        <w:rPr>
          <w:color w:val="222222"/>
          <w:sz w:val="24"/>
          <w:szCs w:val="24"/>
          <w:rtl w:val="0"/>
        </w:rPr>
        <w:t xml:space="preserve">. A change that is localized to just the values in the JSON file will </w:t>
      </w:r>
      <w:r w:rsidDel="00000000" w:rsidR="00000000" w:rsidRPr="00000000">
        <w:rPr>
          <w:color w:val="222222"/>
          <w:sz w:val="24"/>
          <w:szCs w:val="24"/>
          <w:u w:val="single"/>
          <w:rtl w:val="0"/>
        </w:rPr>
        <w:t xml:space="preserve">not </w:t>
      </w:r>
      <w:r w:rsidDel="00000000" w:rsidR="00000000" w:rsidRPr="00000000">
        <w:rPr>
          <w:color w:val="222222"/>
          <w:sz w:val="24"/>
          <w:szCs w:val="24"/>
          <w:rtl w:val="0"/>
        </w:rPr>
        <w:t xml:space="preserve">increment </w:t>
      </w:r>
      <w:r w:rsidDel="00000000" w:rsidR="00000000" w:rsidRPr="00000000">
        <w:rPr>
          <w:rFonts w:ascii="Courier New" w:cs="Courier New" w:eastAsia="Courier New" w:hAnsi="Courier New"/>
          <w:color w:val="222222"/>
          <w:sz w:val="24"/>
          <w:szCs w:val="24"/>
          <w:rtl w:val="0"/>
        </w:rPr>
        <w:t xml:space="preserve">&lt;major&gt; </w:t>
      </w:r>
      <w:r w:rsidDel="00000000" w:rsidR="00000000" w:rsidRPr="00000000">
        <w:rPr>
          <w:color w:val="222222"/>
          <w:sz w:val="24"/>
          <w:szCs w:val="24"/>
          <w:rtl w:val="0"/>
        </w:rPr>
        <w:t xml:space="preserve">but will increment </w:t>
      </w:r>
      <w:r w:rsidDel="00000000" w:rsidR="00000000" w:rsidRPr="00000000">
        <w:rPr>
          <w:rFonts w:ascii="Courier New" w:cs="Courier New" w:eastAsia="Courier New" w:hAnsi="Courier New"/>
          <w:color w:val="222222"/>
          <w:sz w:val="24"/>
          <w:szCs w:val="24"/>
          <w:rtl w:val="0"/>
        </w:rPr>
        <w:t xml:space="preserve">&lt;minor&gt;.</w:t>
      </w:r>
    </w:p>
    <w:p w:rsidR="00000000" w:rsidDel="00000000" w:rsidP="00000000" w:rsidRDefault="00000000" w:rsidRPr="00000000" w14:paraId="00000019">
      <w:pPr>
        <w:numPr>
          <w:ilvl w:val="0"/>
          <w:numId w:val="2"/>
        </w:numPr>
        <w:ind w:left="720" w:hanging="360"/>
        <w:rPr>
          <w:color w:val="222222"/>
          <w:sz w:val="24"/>
          <w:szCs w:val="24"/>
          <w:u w:val="none"/>
        </w:rPr>
      </w:pPr>
      <w:r w:rsidDel="00000000" w:rsidR="00000000" w:rsidRPr="00000000">
        <w:rPr>
          <w:color w:val="222222"/>
          <w:sz w:val="24"/>
          <w:szCs w:val="24"/>
          <w:rtl w:val="0"/>
        </w:rPr>
        <w:t xml:space="preserve">ScaleDB: A change in ScaleDB that changes the structure of the CDU files will increment </w:t>
      </w:r>
      <w:r w:rsidDel="00000000" w:rsidR="00000000" w:rsidRPr="00000000">
        <w:rPr>
          <w:rFonts w:ascii="Courier New" w:cs="Courier New" w:eastAsia="Courier New" w:hAnsi="Courier New"/>
          <w:color w:val="222222"/>
          <w:sz w:val="24"/>
          <w:szCs w:val="24"/>
          <w:rtl w:val="0"/>
        </w:rPr>
        <w:t xml:space="preserve">&lt;major&gt; </w:t>
      </w:r>
      <w:r w:rsidDel="00000000" w:rsidR="00000000" w:rsidRPr="00000000">
        <w:rPr>
          <w:color w:val="222222"/>
          <w:sz w:val="24"/>
          <w:szCs w:val="24"/>
          <w:rtl w:val="0"/>
        </w:rPr>
        <w:t xml:space="preserve">(this will usually take place side-by-side with the structure of the JSON file changing)</w:t>
      </w:r>
      <w:r w:rsidDel="00000000" w:rsidR="00000000" w:rsidRPr="00000000">
        <w:rPr>
          <w:color w:val="222222"/>
          <w:sz w:val="24"/>
          <w:szCs w:val="24"/>
          <w:rtl w:val="0"/>
        </w:rPr>
        <w:t xml:space="preserve">. A change that is localized to just the values in ScaleDB with no impact in CDU file structure will </w:t>
      </w:r>
      <w:r w:rsidDel="00000000" w:rsidR="00000000" w:rsidRPr="00000000">
        <w:rPr>
          <w:color w:val="222222"/>
          <w:sz w:val="24"/>
          <w:szCs w:val="24"/>
          <w:u w:val="single"/>
          <w:rtl w:val="0"/>
        </w:rPr>
        <w:t xml:space="preserve">not </w:t>
      </w:r>
      <w:r w:rsidDel="00000000" w:rsidR="00000000" w:rsidRPr="00000000">
        <w:rPr>
          <w:color w:val="222222"/>
          <w:sz w:val="24"/>
          <w:szCs w:val="24"/>
          <w:rtl w:val="0"/>
        </w:rPr>
        <w:t xml:space="preserve">increment </w:t>
      </w:r>
      <w:r w:rsidDel="00000000" w:rsidR="00000000" w:rsidRPr="00000000">
        <w:rPr>
          <w:rFonts w:ascii="Courier New" w:cs="Courier New" w:eastAsia="Courier New" w:hAnsi="Courier New"/>
          <w:color w:val="222222"/>
          <w:sz w:val="24"/>
          <w:szCs w:val="24"/>
          <w:rtl w:val="0"/>
        </w:rPr>
        <w:t xml:space="preserve">&lt;major&gt; </w:t>
      </w:r>
      <w:r w:rsidDel="00000000" w:rsidR="00000000" w:rsidRPr="00000000">
        <w:rPr>
          <w:color w:val="222222"/>
          <w:sz w:val="24"/>
          <w:szCs w:val="24"/>
          <w:rtl w:val="0"/>
        </w:rPr>
        <w:t xml:space="preserve">but will increment </w:t>
      </w:r>
      <w:r w:rsidDel="00000000" w:rsidR="00000000" w:rsidRPr="00000000">
        <w:rPr>
          <w:rFonts w:ascii="Courier New" w:cs="Courier New" w:eastAsia="Courier New" w:hAnsi="Courier New"/>
          <w:color w:val="222222"/>
          <w:sz w:val="24"/>
          <w:szCs w:val="24"/>
          <w:rtl w:val="0"/>
        </w:rPr>
        <w:t xml:space="preserve">&lt;minor&gt;.</w:t>
      </w:r>
      <w:r w:rsidDel="00000000" w:rsidR="00000000" w:rsidRPr="00000000">
        <w:rPr>
          <w:rtl w:val="0"/>
        </w:rPr>
      </w:r>
    </w:p>
    <w:p w:rsidR="00000000" w:rsidDel="00000000" w:rsidP="00000000" w:rsidRDefault="00000000" w:rsidRPr="00000000" w14:paraId="0000001A">
      <w:pPr>
        <w:rPr>
          <w:color w:val="222222"/>
          <w:sz w:val="24"/>
          <w:szCs w:val="24"/>
        </w:rPr>
      </w:pPr>
      <w:r w:rsidDel="00000000" w:rsidR="00000000" w:rsidRPr="00000000">
        <w:rPr>
          <w:rtl w:val="0"/>
        </w:rPr>
      </w:r>
    </w:p>
    <w:p w:rsidR="00000000" w:rsidDel="00000000" w:rsidP="00000000" w:rsidRDefault="00000000" w:rsidRPr="00000000" w14:paraId="0000001B">
      <w:pPr>
        <w:rPr>
          <w:color w:val="222222"/>
          <w:sz w:val="24"/>
          <w:szCs w:val="24"/>
        </w:rPr>
      </w:pPr>
      <w:r w:rsidDel="00000000" w:rsidR="00000000" w:rsidRPr="00000000">
        <w:rPr>
          <w:color w:val="222222"/>
          <w:sz w:val="24"/>
          <w:szCs w:val="24"/>
          <w:rtl w:val="0"/>
        </w:rPr>
        <w:t xml:space="preserve">We want to be able to support quickly roll out a prepayment model in all situations where </w:t>
      </w:r>
      <w:r w:rsidDel="00000000" w:rsidR="00000000" w:rsidRPr="00000000">
        <w:rPr>
          <w:rFonts w:ascii="Courier New" w:cs="Courier New" w:eastAsia="Courier New" w:hAnsi="Courier New"/>
          <w:color w:val="222222"/>
          <w:sz w:val="24"/>
          <w:szCs w:val="24"/>
          <w:rtl w:val="0"/>
        </w:rPr>
        <w:t xml:space="preserve">&lt;major&gt;</w:t>
      </w:r>
      <w:r w:rsidDel="00000000" w:rsidR="00000000" w:rsidRPr="00000000">
        <w:rPr>
          <w:color w:val="222222"/>
          <w:sz w:val="24"/>
          <w:szCs w:val="24"/>
          <w:rtl w:val="0"/>
        </w:rPr>
        <w:t xml:space="preserve"> does not change but </w:t>
      </w:r>
      <w:r w:rsidDel="00000000" w:rsidR="00000000" w:rsidRPr="00000000">
        <w:rPr>
          <w:rFonts w:ascii="Courier New" w:cs="Courier New" w:eastAsia="Courier New" w:hAnsi="Courier New"/>
          <w:color w:val="222222"/>
          <w:sz w:val="24"/>
          <w:szCs w:val="24"/>
          <w:rtl w:val="0"/>
        </w:rPr>
        <w:t xml:space="preserve">&lt;minor&gt;</w:t>
      </w:r>
      <w:r w:rsidDel="00000000" w:rsidR="00000000" w:rsidRPr="00000000">
        <w:rPr>
          <w:color w:val="222222"/>
          <w:sz w:val="24"/>
          <w:szCs w:val="24"/>
          <w:rtl w:val="0"/>
        </w:rPr>
        <w:t xml:space="preserve"> or </w:t>
      </w:r>
      <w:r w:rsidDel="00000000" w:rsidR="00000000" w:rsidRPr="00000000">
        <w:rPr>
          <w:rFonts w:ascii="Courier New" w:cs="Courier New" w:eastAsia="Courier New" w:hAnsi="Courier New"/>
          <w:color w:val="222222"/>
          <w:sz w:val="24"/>
          <w:szCs w:val="24"/>
          <w:rtl w:val="0"/>
        </w:rPr>
        <w:t xml:space="preserve">&lt;patch&gt;</w:t>
      </w:r>
      <w:r w:rsidDel="00000000" w:rsidR="00000000" w:rsidRPr="00000000">
        <w:rPr>
          <w:color w:val="222222"/>
          <w:sz w:val="24"/>
          <w:szCs w:val="24"/>
          <w:rtl w:val="0"/>
        </w:rPr>
        <w:t xml:space="preserve"> do.   </w:t>
      </w:r>
    </w:p>
    <w:p w:rsidR="00000000" w:rsidDel="00000000" w:rsidP="00000000" w:rsidRDefault="00000000" w:rsidRPr="00000000" w14:paraId="0000001C">
      <w:pPr>
        <w:rPr>
          <w:color w:val="222222"/>
          <w:sz w:val="24"/>
          <w:szCs w:val="24"/>
        </w:rPr>
      </w:pPr>
      <w:r w:rsidDel="00000000" w:rsidR="00000000" w:rsidRPr="00000000">
        <w:rPr>
          <w:rtl w:val="0"/>
        </w:rPr>
      </w:r>
    </w:p>
    <w:p w:rsidR="00000000" w:rsidDel="00000000" w:rsidP="00000000" w:rsidRDefault="00000000" w:rsidRPr="00000000" w14:paraId="0000001D">
      <w:pPr>
        <w:rPr>
          <w:color w:val="222222"/>
          <w:sz w:val="24"/>
          <w:szCs w:val="24"/>
        </w:rPr>
      </w:pPr>
      <w:r w:rsidDel="00000000" w:rsidR="00000000" w:rsidRPr="00000000">
        <w:rPr>
          <w:color w:val="222222"/>
          <w:sz w:val="24"/>
          <w:szCs w:val="24"/>
          <w:rtl w:val="0"/>
        </w:rPr>
        <w:t xml:space="preserve">Implementation</w:t>
      </w:r>
    </w:p>
    <w:p w:rsidR="00000000" w:rsidDel="00000000" w:rsidP="00000000" w:rsidRDefault="00000000" w:rsidRPr="00000000" w14:paraId="0000001E">
      <w:pPr>
        <w:rPr>
          <w:color w:val="222222"/>
          <w:sz w:val="24"/>
          <w:szCs w:val="24"/>
        </w:rPr>
      </w:pPr>
      <w:r w:rsidDel="00000000" w:rsidR="00000000" w:rsidRPr="00000000">
        <w:rPr>
          <w:color w:val="222222"/>
          <w:sz w:val="24"/>
          <w:szCs w:val="24"/>
          <w:rtl w:val="0"/>
        </w:rPr>
        <w:t xml:space="preserve">The </w:t>
      </w:r>
    </w:p>
    <w:p w:rsidR="00000000" w:rsidDel="00000000" w:rsidP="00000000" w:rsidRDefault="00000000" w:rsidRPr="00000000" w14:paraId="0000001F">
      <w:pPr>
        <w:rPr>
          <w:color w:val="222222"/>
          <w:sz w:val="24"/>
          <w:szCs w:val="24"/>
        </w:rPr>
      </w:pPr>
      <w:r w:rsidDel="00000000" w:rsidR="00000000" w:rsidRPr="00000000">
        <w:rPr>
          <w:rtl w:val="0"/>
        </w:rPr>
      </w:r>
    </w:p>
    <w:p w:rsidR="00000000" w:rsidDel="00000000" w:rsidP="00000000" w:rsidRDefault="00000000" w:rsidRPr="00000000" w14:paraId="00000020">
      <w:pPr>
        <w:rPr>
          <w:color w:val="222222"/>
          <w:sz w:val="24"/>
          <w:szCs w:val="24"/>
          <w:highlight w:val="yellow"/>
        </w:rPr>
      </w:pPr>
      <w:r w:rsidDel="00000000" w:rsidR="00000000" w:rsidRPr="00000000">
        <w:rPr>
          <w:color w:val="222222"/>
          <w:sz w:val="24"/>
          <w:szCs w:val="24"/>
          <w:highlight w:val="yellow"/>
          <w:rtl w:val="0"/>
        </w:rPr>
        <w:t xml:space="preserve">How is this accomplished?</w:t>
      </w:r>
    </w:p>
    <w:p w:rsidR="00000000" w:rsidDel="00000000" w:rsidP="00000000" w:rsidRDefault="00000000" w:rsidRPr="00000000" w14:paraId="00000021">
      <w:pPr>
        <w:rPr>
          <w:color w:val="222222"/>
          <w:sz w:val="24"/>
          <w:szCs w:val="24"/>
        </w:rPr>
      </w:pPr>
      <w:r w:rsidDel="00000000" w:rsidR="00000000" w:rsidRPr="00000000">
        <w:rPr>
          <w:color w:val="222222"/>
          <w:sz w:val="24"/>
          <w:szCs w:val="24"/>
          <w:highlight w:val="yellow"/>
          <w:rtl w:val="0"/>
        </w:rPr>
        <w:t xml:space="preserve">&lt;Notes from Lien and Dere</w:t>
      </w:r>
      <w:r w:rsidDel="00000000" w:rsidR="00000000" w:rsidRPr="00000000">
        <w:rPr>
          <w:color w:val="222222"/>
          <w:sz w:val="24"/>
          <w:szCs w:val="24"/>
          <w:rtl w:val="0"/>
        </w:rPr>
        <w:t xml:space="preserve">k&gt;</w:t>
      </w:r>
    </w:p>
    <w:p w:rsidR="00000000" w:rsidDel="00000000" w:rsidP="00000000" w:rsidRDefault="00000000" w:rsidRPr="00000000" w14:paraId="00000022">
      <w:pPr>
        <w:rPr>
          <w:color w:val="222222"/>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22222"/>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