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CRT Status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Current Production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CRT Data loaded monthly from eMBS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CRT Data processed into Cello format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Current Development (Lien + Bobby + ?)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CRT Surveillance Report Queries for Collateral and Historical Performance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CRT Projections are created by automatically running each CRT pool through Accordion and saving the output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CRT Surveillance Report first draft presented to Antoine. Combines Collateral, Historical Performance and Accordion Projections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CRT Mapping from BBG to YB Name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Working YB template for Price/Yield calcs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Pipeline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Add tracking to CRT Surveillance Report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Automate YB template to run each bond and store results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Create a trader friendly YB template which pulls in the Accordion projections for any CRT bond, and allows the trader to tweak the projections with certain dials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Severity Model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