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4"/>
        </w:numPr>
        <w:ind w:left="720" w:hanging="360"/>
        <w:rPr>
          <w:b w:val="1"/>
          <w:sz w:val="28"/>
          <w:szCs w:val="28"/>
          <w:u w:val="none"/>
        </w:rPr>
      </w:pPr>
      <w:r w:rsidDel="00000000" w:rsidR="00000000" w:rsidRPr="00000000">
        <w:rPr>
          <w:b w:val="1"/>
          <w:sz w:val="28"/>
          <w:szCs w:val="28"/>
          <w:rtl w:val="0"/>
        </w:rPr>
        <w:t xml:space="preserve">Summary</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2. Ginnie Mae CMBS are part of the Agency CMBS Market</w:t>
      </w:r>
    </w:p>
    <w:p w:rsidR="00000000" w:rsidDel="00000000" w:rsidP="00000000" w:rsidRDefault="00000000" w:rsidRPr="00000000" w14:paraId="00000004">
      <w:pPr>
        <w:rPr>
          <w:color w:val="0000ff"/>
          <w:sz w:val="28"/>
          <w:szCs w:val="28"/>
        </w:rPr>
      </w:pPr>
      <w:r w:rsidDel="00000000" w:rsidR="00000000" w:rsidRPr="00000000">
        <w:rPr>
          <w:color w:val="0000ff"/>
          <w:sz w:val="28"/>
          <w:szCs w:val="28"/>
          <w:rtl w:val="0"/>
        </w:rPr>
        <w:t xml:space="preserve">Includes:</w:t>
      </w:r>
    </w:p>
    <w:p w:rsidR="00000000" w:rsidDel="00000000" w:rsidP="00000000" w:rsidRDefault="00000000" w:rsidRPr="00000000" w14:paraId="00000005">
      <w:pPr>
        <w:numPr>
          <w:ilvl w:val="0"/>
          <w:numId w:val="3"/>
        </w:numPr>
        <w:ind w:left="720" w:hanging="360"/>
        <w:rPr>
          <w:color w:val="0000ff"/>
          <w:sz w:val="28"/>
          <w:szCs w:val="28"/>
          <w:u w:val="none"/>
        </w:rPr>
      </w:pPr>
      <w:r w:rsidDel="00000000" w:rsidR="00000000" w:rsidRPr="00000000">
        <w:rPr>
          <w:color w:val="0000ff"/>
          <w:sz w:val="28"/>
          <w:szCs w:val="28"/>
          <w:rtl w:val="0"/>
        </w:rPr>
        <w:t xml:space="preserve">Ginnie Mae Project Loan CMOs: Low- to moderate- income multifamily housing and healthcare loans. Size: ~45bb.</w:t>
      </w:r>
    </w:p>
    <w:p w:rsidR="00000000" w:rsidDel="00000000" w:rsidP="00000000" w:rsidRDefault="00000000" w:rsidRPr="00000000" w14:paraId="00000006">
      <w:pPr>
        <w:numPr>
          <w:ilvl w:val="0"/>
          <w:numId w:val="3"/>
        </w:numPr>
        <w:ind w:left="720" w:hanging="360"/>
        <w:rPr>
          <w:color w:val="0000ff"/>
          <w:sz w:val="28"/>
          <w:szCs w:val="28"/>
          <w:u w:val="none"/>
        </w:rPr>
      </w:pPr>
      <w:r w:rsidDel="00000000" w:rsidR="00000000" w:rsidRPr="00000000">
        <w:rPr>
          <w:color w:val="0000ff"/>
          <w:sz w:val="28"/>
          <w:szCs w:val="28"/>
          <w:rtl w:val="0"/>
        </w:rPr>
        <w:t xml:space="preserve">Fannie Mae DUS Megas and CMOs: Standard conventional multifamily housing. Size: ~$22b</w:t>
      </w:r>
    </w:p>
    <w:p w:rsidR="00000000" w:rsidDel="00000000" w:rsidP="00000000" w:rsidRDefault="00000000" w:rsidRPr="00000000" w14:paraId="00000007">
      <w:pPr>
        <w:numPr>
          <w:ilvl w:val="0"/>
          <w:numId w:val="3"/>
        </w:numPr>
        <w:ind w:left="720" w:hanging="360"/>
        <w:rPr>
          <w:color w:val="0000ff"/>
          <w:sz w:val="28"/>
          <w:szCs w:val="28"/>
          <w:u w:val="none"/>
        </w:rPr>
      </w:pPr>
      <w:r w:rsidDel="00000000" w:rsidR="00000000" w:rsidRPr="00000000">
        <w:rPr>
          <w:color w:val="0000ff"/>
          <w:sz w:val="28"/>
          <w:szCs w:val="28"/>
          <w:rtl w:val="0"/>
        </w:rPr>
        <w:t xml:space="preserve">Freddie Mac K-Deals: Standard conventional multifamily housing. Size: ~$19bb</w:t>
      </w:r>
    </w:p>
    <w:p w:rsidR="00000000" w:rsidDel="00000000" w:rsidP="00000000" w:rsidRDefault="00000000" w:rsidRPr="00000000" w14:paraId="00000008">
      <w:pPr>
        <w:numPr>
          <w:ilvl w:val="0"/>
          <w:numId w:val="3"/>
        </w:numPr>
        <w:ind w:left="720" w:hanging="360"/>
        <w:rPr>
          <w:color w:val="0000ff"/>
          <w:sz w:val="28"/>
          <w:szCs w:val="28"/>
          <w:u w:val="none"/>
        </w:rPr>
      </w:pPr>
      <w:r w:rsidDel="00000000" w:rsidR="00000000" w:rsidRPr="00000000">
        <w:rPr>
          <w:color w:val="0000ff"/>
          <w:sz w:val="28"/>
          <w:szCs w:val="28"/>
          <w:rtl w:val="0"/>
        </w:rPr>
        <w:t xml:space="preserve">SBA 7(a) Pools: Full-recourse loans to small businesses. Size: ~$19bb.</w:t>
      </w:r>
    </w:p>
    <w:p w:rsidR="00000000" w:rsidDel="00000000" w:rsidP="00000000" w:rsidRDefault="00000000" w:rsidRPr="00000000" w14:paraId="00000009">
      <w:pPr>
        <w:rPr>
          <w:color w:val="0000ff"/>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3. The Agency CMBS market offers capital markets financing for multifamily housing</w:t>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Property Type/Capital Markets Financing/Size</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Single-family   Agency RMBS   $6 trillion</w:t>
      </w:r>
    </w:p>
    <w:p w:rsidR="00000000" w:rsidDel="00000000" w:rsidP="00000000" w:rsidRDefault="00000000" w:rsidRPr="00000000" w14:paraId="0000000F">
      <w:pPr>
        <w:rPr>
          <w:sz w:val="28"/>
          <w:szCs w:val="28"/>
        </w:rPr>
      </w:pPr>
      <w:r w:rsidDel="00000000" w:rsidR="00000000" w:rsidRPr="00000000">
        <w:rPr>
          <w:sz w:val="28"/>
          <w:szCs w:val="28"/>
          <w:rtl w:val="0"/>
        </w:rPr>
        <w:t xml:space="preserve">Multifamily      Agency CMBS  $660bb</w:t>
      </w:r>
    </w:p>
    <w:p w:rsidR="00000000" w:rsidDel="00000000" w:rsidP="00000000" w:rsidRDefault="00000000" w:rsidRPr="00000000" w14:paraId="00000010">
      <w:pPr>
        <w:rPr>
          <w:sz w:val="28"/>
          <w:szCs w:val="28"/>
        </w:rPr>
      </w:pPr>
      <w:r w:rsidDel="00000000" w:rsidR="00000000" w:rsidRPr="00000000">
        <w:rPr>
          <w:sz w:val="28"/>
          <w:szCs w:val="28"/>
          <w:rtl w:val="0"/>
        </w:rPr>
        <w:t xml:space="preserve">Commer</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Characteristics of Ginnie Mae CMBS</w:t>
      </w:r>
    </w:p>
    <w:p w:rsidR="00000000" w:rsidDel="00000000" w:rsidP="00000000" w:rsidRDefault="00000000" w:rsidRPr="00000000" w14:paraId="00000013">
      <w:pPr>
        <w:rPr>
          <w:b w:val="1"/>
          <w:sz w:val="28"/>
          <w:szCs w:val="28"/>
        </w:rPr>
      </w:pPr>
      <w:r w:rsidDel="00000000" w:rsidR="00000000" w:rsidRPr="00000000">
        <w:rPr>
          <w:rtl w:val="0"/>
        </w:rPr>
      </w:r>
    </w:p>
    <w:p w:rsidR="00000000" w:rsidDel="00000000" w:rsidP="00000000" w:rsidRDefault="00000000" w:rsidRPr="00000000" w14:paraId="00000014">
      <w:pPr>
        <w:numPr>
          <w:ilvl w:val="0"/>
          <w:numId w:val="2"/>
        </w:numPr>
        <w:ind w:left="720" w:hanging="360"/>
        <w:rPr>
          <w:color w:val="0000ff"/>
          <w:sz w:val="28"/>
          <w:szCs w:val="28"/>
        </w:rPr>
      </w:pPr>
      <w:r w:rsidDel="00000000" w:rsidR="00000000" w:rsidRPr="00000000">
        <w:rPr>
          <w:color w:val="0000ff"/>
          <w:sz w:val="28"/>
          <w:szCs w:val="28"/>
          <w:rtl w:val="0"/>
        </w:rPr>
        <w:t xml:space="preserve">Collateralized by project loans</w:t>
      </w:r>
    </w:p>
    <w:p w:rsidR="00000000" w:rsidDel="00000000" w:rsidP="00000000" w:rsidRDefault="00000000" w:rsidRPr="00000000" w14:paraId="00000015">
      <w:pPr>
        <w:numPr>
          <w:ilvl w:val="0"/>
          <w:numId w:val="2"/>
        </w:numPr>
        <w:ind w:left="720" w:hanging="360"/>
        <w:rPr>
          <w:color w:val="0000ff"/>
          <w:sz w:val="28"/>
          <w:szCs w:val="28"/>
          <w:u w:val="none"/>
        </w:rPr>
      </w:pPr>
      <w:r w:rsidDel="00000000" w:rsidR="00000000" w:rsidRPr="00000000">
        <w:rPr>
          <w:color w:val="0000ff"/>
          <w:sz w:val="28"/>
          <w:szCs w:val="28"/>
          <w:rtl w:val="0"/>
        </w:rPr>
        <w:t xml:space="preserve">Etc</w:t>
      </w:r>
    </w:p>
    <w:p w:rsidR="00000000" w:rsidDel="00000000" w:rsidP="00000000" w:rsidRDefault="00000000" w:rsidRPr="00000000" w14:paraId="00000016">
      <w:pPr>
        <w:rPr>
          <w:color w:val="0000ff"/>
          <w:sz w:val="28"/>
          <w:szCs w:val="28"/>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b w:val="1"/>
          <w:sz w:val="28"/>
          <w:szCs w:val="28"/>
          <w:rtl w:val="0"/>
        </w:rPr>
        <w:t xml:space="preserve">Modeling Residential Loans versus Commercial Loans</w:t>
      </w:r>
    </w:p>
    <w:p w:rsidR="00000000" w:rsidDel="00000000" w:rsidP="00000000" w:rsidRDefault="00000000" w:rsidRPr="00000000" w14:paraId="00000018">
      <w:pPr>
        <w:rPr>
          <w:b w:val="1"/>
          <w:sz w:val="28"/>
          <w:szCs w:val="28"/>
        </w:rPr>
      </w:pPr>
      <w:r w:rsidDel="00000000" w:rsidR="00000000" w:rsidRPr="00000000">
        <w:rPr>
          <w:rtl w:val="0"/>
        </w:rPr>
      </w:r>
    </w:p>
    <w:p w:rsidR="00000000" w:rsidDel="00000000" w:rsidP="00000000" w:rsidRDefault="00000000" w:rsidRPr="00000000" w14:paraId="00000019">
      <w:pPr>
        <w:rPr>
          <w:color w:val="0000ff"/>
          <w:sz w:val="28"/>
          <w:szCs w:val="28"/>
        </w:rPr>
      </w:pPr>
      <w:r w:rsidDel="00000000" w:rsidR="00000000" w:rsidRPr="00000000">
        <w:rPr>
          <w:color w:val="0000ff"/>
          <w:sz w:val="28"/>
          <w:szCs w:val="28"/>
          <w:rtl w:val="0"/>
        </w:rPr>
        <w:t xml:space="preserve">Fundamental differences in the modeling approach</w:t>
      </w:r>
    </w:p>
    <w:p w:rsidR="00000000" w:rsidDel="00000000" w:rsidP="00000000" w:rsidRDefault="00000000" w:rsidRPr="00000000" w14:paraId="0000001A">
      <w:pPr>
        <w:rPr>
          <w:color w:val="0000ff"/>
          <w:sz w:val="28"/>
          <w:szCs w:val="28"/>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Data Sources for Modeling Ginnie Mae Project Loans</w:t>
      </w:r>
    </w:p>
    <w:p w:rsidR="00000000" w:rsidDel="00000000" w:rsidP="00000000" w:rsidRDefault="00000000" w:rsidRPr="00000000" w14:paraId="0000001C">
      <w:pPr>
        <w:rPr>
          <w:b w:val="1"/>
          <w:sz w:val="28"/>
          <w:szCs w:val="28"/>
        </w:rPr>
      </w:pPr>
      <w:r w:rsidDel="00000000" w:rsidR="00000000" w:rsidRPr="00000000">
        <w:rPr>
          <w:rtl w:val="0"/>
        </w:rPr>
      </w:r>
    </w:p>
    <w:p w:rsidR="00000000" w:rsidDel="00000000" w:rsidP="00000000" w:rsidRDefault="00000000" w:rsidRPr="00000000" w14:paraId="0000001D">
      <w:pPr>
        <w:rPr>
          <w:color w:val="0000ff"/>
          <w:sz w:val="28"/>
          <w:szCs w:val="28"/>
        </w:rPr>
      </w:pPr>
      <w:r w:rsidDel="00000000" w:rsidR="00000000" w:rsidRPr="00000000">
        <w:rPr>
          <w:color w:val="0000ff"/>
          <w:sz w:val="28"/>
          <w:szCs w:val="28"/>
          <w:rtl w:val="0"/>
        </w:rPr>
        <w:t xml:space="preserve">Data sets for model development and validation</w:t>
      </w:r>
    </w:p>
    <w:p w:rsidR="00000000" w:rsidDel="00000000" w:rsidP="00000000" w:rsidRDefault="00000000" w:rsidRPr="00000000" w14:paraId="0000001E">
      <w:pPr>
        <w:rPr>
          <w:color w:val="0000ff"/>
          <w:sz w:val="28"/>
          <w:szCs w:val="28"/>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Modeling Parameters</w:t>
      </w:r>
    </w:p>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color w:val="0000ff"/>
          <w:sz w:val="28"/>
          <w:szCs w:val="28"/>
        </w:rPr>
      </w:pPr>
      <w:r w:rsidDel="00000000" w:rsidR="00000000" w:rsidRPr="00000000">
        <w:rPr>
          <w:color w:val="0000ff"/>
          <w:sz w:val="28"/>
          <w:szCs w:val="28"/>
          <w:rtl w:val="0"/>
        </w:rPr>
        <w:t xml:space="preserve">Data sets for model development and validation</w:t>
      </w:r>
    </w:p>
    <w:p w:rsidR="00000000" w:rsidDel="00000000" w:rsidP="00000000" w:rsidRDefault="00000000" w:rsidRPr="00000000" w14:paraId="00000022">
      <w:pPr>
        <w:rPr>
          <w:color w:val="0000ff"/>
          <w:sz w:val="28"/>
          <w:szCs w:val="28"/>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Commercial Property and Loan Basics</w:t>
      </w:r>
    </w:p>
    <w:p w:rsidR="00000000" w:rsidDel="00000000" w:rsidP="00000000" w:rsidRDefault="00000000" w:rsidRPr="00000000" w14:paraId="00000024">
      <w:pPr>
        <w:rPr>
          <w:b w:val="1"/>
          <w:sz w:val="28"/>
          <w:szCs w:val="28"/>
        </w:rPr>
      </w:pPr>
      <w:r w:rsidDel="00000000" w:rsidR="00000000" w:rsidRPr="00000000">
        <w:rPr>
          <w:rtl w:val="0"/>
        </w:rPr>
      </w:r>
    </w:p>
    <w:p w:rsidR="00000000" w:rsidDel="00000000" w:rsidP="00000000" w:rsidRDefault="00000000" w:rsidRPr="00000000" w14:paraId="00000025">
      <w:pPr>
        <w:rPr>
          <w:color w:val="0000ff"/>
          <w:sz w:val="28"/>
          <w:szCs w:val="28"/>
        </w:rPr>
      </w:pPr>
      <w:r w:rsidDel="00000000" w:rsidR="00000000" w:rsidRPr="00000000">
        <w:rPr>
          <w:color w:val="0000ff"/>
          <w:sz w:val="28"/>
          <w:szCs w:val="28"/>
          <w:rtl w:val="0"/>
        </w:rPr>
        <w:t xml:space="preserve">Key metrics</w:t>
      </w:r>
    </w:p>
    <w:p w:rsidR="00000000" w:rsidDel="00000000" w:rsidP="00000000" w:rsidRDefault="00000000" w:rsidRPr="00000000" w14:paraId="00000026">
      <w:pPr>
        <w:rPr>
          <w:color w:val="0000ff"/>
          <w:sz w:val="28"/>
          <w:szCs w:val="28"/>
        </w:rPr>
      </w:pPr>
      <w:r w:rsidDel="00000000" w:rsidR="00000000" w:rsidRPr="00000000">
        <w:rPr>
          <w:rtl w:val="0"/>
        </w:rPr>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Forecasting Loan Outcomes</w:t>
      </w:r>
    </w:p>
    <w:p w:rsidR="00000000" w:rsidDel="00000000" w:rsidP="00000000" w:rsidRDefault="00000000" w:rsidRPr="00000000" w14:paraId="00000028">
      <w:pPr>
        <w:rPr>
          <w:b w:val="1"/>
          <w:sz w:val="28"/>
          <w:szCs w:val="28"/>
        </w:rPr>
      </w:pPr>
      <w:r w:rsidDel="00000000" w:rsidR="00000000" w:rsidRPr="00000000">
        <w:rPr>
          <w:rtl w:val="0"/>
        </w:rPr>
      </w:r>
    </w:p>
    <w:p w:rsidR="00000000" w:rsidDel="00000000" w:rsidP="00000000" w:rsidRDefault="00000000" w:rsidRPr="00000000" w14:paraId="00000029">
      <w:pPr>
        <w:rPr>
          <w:color w:val="0000ff"/>
          <w:sz w:val="28"/>
          <w:szCs w:val="28"/>
        </w:rPr>
      </w:pPr>
      <w:r w:rsidDel="00000000" w:rsidR="00000000" w:rsidRPr="00000000">
        <w:rPr>
          <w:color w:val="0000ff"/>
          <w:sz w:val="28"/>
          <w:szCs w:val="28"/>
          <w:rtl w:val="0"/>
        </w:rPr>
        <w:t xml:space="preserve">Key metrics</w:t>
      </w:r>
    </w:p>
    <w:p w:rsidR="00000000" w:rsidDel="00000000" w:rsidP="00000000" w:rsidRDefault="00000000" w:rsidRPr="00000000" w14:paraId="0000002A">
      <w:pPr>
        <w:rPr>
          <w:color w:val="0000ff"/>
          <w:sz w:val="28"/>
          <w:szCs w:val="28"/>
        </w:rPr>
      </w:pPr>
      <w:r w:rsidDel="00000000" w:rsidR="00000000" w:rsidRPr="00000000">
        <w:rPr>
          <w:rtl w:val="0"/>
        </w:rPr>
      </w:r>
    </w:p>
    <w:p w:rsidR="00000000" w:rsidDel="00000000" w:rsidP="00000000" w:rsidRDefault="00000000" w:rsidRPr="00000000" w14:paraId="0000002B">
      <w:pPr>
        <w:rPr>
          <w:b w:val="1"/>
          <w:sz w:val="28"/>
          <w:szCs w:val="28"/>
        </w:rPr>
      </w:pPr>
      <w:r w:rsidDel="00000000" w:rsidR="00000000" w:rsidRPr="00000000">
        <w:rPr>
          <w:b w:val="1"/>
          <w:sz w:val="28"/>
          <w:szCs w:val="28"/>
          <w:rtl w:val="0"/>
        </w:rPr>
        <w:t xml:space="preserve">Valuation Framework</w:t>
      </w:r>
    </w:p>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color w:val="0000ff"/>
          <w:sz w:val="28"/>
          <w:szCs w:val="28"/>
        </w:rPr>
      </w:pPr>
      <w:r w:rsidDel="00000000" w:rsidR="00000000" w:rsidRPr="00000000">
        <w:rPr>
          <w:color w:val="0000ff"/>
          <w:sz w:val="28"/>
          <w:szCs w:val="28"/>
          <w:rtl w:val="0"/>
        </w:rPr>
        <w:t xml:space="preserve">Key metrics</w:t>
      </w:r>
    </w:p>
    <w:p w:rsidR="00000000" w:rsidDel="00000000" w:rsidP="00000000" w:rsidRDefault="00000000" w:rsidRPr="00000000" w14:paraId="0000002E">
      <w:pPr>
        <w:rPr>
          <w:color w:val="0000ff"/>
          <w:sz w:val="28"/>
          <w:szCs w:val="28"/>
        </w:rPr>
      </w:pPr>
      <w:r w:rsidDel="00000000" w:rsidR="00000000" w:rsidRPr="00000000">
        <w:rPr>
          <w:rtl w:val="0"/>
        </w:rPr>
      </w:r>
    </w:p>
    <w:p w:rsidR="00000000" w:rsidDel="00000000" w:rsidP="00000000" w:rsidRDefault="00000000" w:rsidRPr="00000000" w14:paraId="0000002F">
      <w:pPr>
        <w:rPr>
          <w:b w:val="1"/>
          <w:sz w:val="28"/>
          <w:szCs w:val="28"/>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What is Multifamily Housing?</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color w:val="0000ff"/>
          <w:sz w:val="28"/>
          <w:szCs w:val="28"/>
        </w:rPr>
      </w:pPr>
      <w:r w:rsidDel="00000000" w:rsidR="00000000" w:rsidRPr="00000000">
        <w:rPr>
          <w:color w:val="0000ff"/>
          <w:sz w:val="28"/>
          <w:szCs w:val="28"/>
          <w:rtl w:val="0"/>
        </w:rPr>
        <w:t xml:space="preserve">Multifamily housing consists of buildings that contain five or more units with the individual units typically being used for rental purposes. Examples of multifamily housing include rental apartments, condominiums, and co-operatives. </w:t>
      </w:r>
    </w:p>
    <w:p w:rsidR="00000000" w:rsidDel="00000000" w:rsidP="00000000" w:rsidRDefault="00000000" w:rsidRPr="00000000" w14:paraId="00000033">
      <w:pPr>
        <w:rPr>
          <w:color w:val="0000ff"/>
          <w:sz w:val="28"/>
          <w:szCs w:val="28"/>
        </w:rPr>
      </w:pPr>
      <w:r w:rsidDel="00000000" w:rsidR="00000000" w:rsidRPr="00000000">
        <w:rPr>
          <w:rtl w:val="0"/>
        </w:rPr>
      </w:r>
    </w:p>
    <w:p w:rsidR="00000000" w:rsidDel="00000000" w:rsidP="00000000" w:rsidRDefault="00000000" w:rsidRPr="00000000" w14:paraId="00000034">
      <w:pPr>
        <w:rPr>
          <w:color w:val="0000ff"/>
          <w:sz w:val="28"/>
          <w:szCs w:val="28"/>
        </w:rPr>
      </w:pPr>
      <w:r w:rsidDel="00000000" w:rsidR="00000000" w:rsidRPr="00000000">
        <w:rPr>
          <w:color w:val="0000ff"/>
          <w:sz w:val="28"/>
          <w:szCs w:val="28"/>
          <w:rtl w:val="0"/>
        </w:rPr>
        <w:t xml:space="preserve">Other types of large buildings that are supported by government-backed mortgage financing include healthcare properties (nursing homes, residential facilities for the elderly) and properties that serve public policy goals (affordable housing, community development, job creation, etc.).</w:t>
      </w:r>
    </w:p>
    <w:p w:rsidR="00000000" w:rsidDel="00000000" w:rsidP="00000000" w:rsidRDefault="00000000" w:rsidRPr="00000000" w14:paraId="00000035">
      <w:pPr>
        <w:rPr>
          <w:color w:val="0000ff"/>
          <w:sz w:val="28"/>
          <w:szCs w:val="28"/>
        </w:rPr>
      </w:pPr>
      <w:r w:rsidDel="00000000" w:rsidR="00000000" w:rsidRPr="00000000">
        <w:rPr>
          <w:rtl w:val="0"/>
        </w:rPr>
      </w:r>
    </w:p>
    <w:p w:rsidR="00000000" w:rsidDel="00000000" w:rsidP="00000000" w:rsidRDefault="00000000" w:rsidRPr="00000000" w14:paraId="00000036">
      <w:pPr>
        <w:rPr>
          <w:color w:val="0000ff"/>
          <w:sz w:val="28"/>
          <w:szCs w:val="28"/>
        </w:rPr>
      </w:pPr>
      <w:r w:rsidDel="00000000" w:rsidR="00000000" w:rsidRPr="00000000">
        <w:rPr>
          <w:color w:val="0000ff"/>
          <w:sz w:val="28"/>
          <w:szCs w:val="28"/>
          <w:rtl w:val="0"/>
        </w:rPr>
        <w:t xml:space="preserve">Government agencies such as the FHA, Fannie Mae, Freddie Mac and the Small Business Administration (SBA) participate in the multifamily market by providing guarantees on mortgage-backed securities (MBS) similar to how they participate in the single-family mortgage market.</w:t>
      </w:r>
    </w:p>
    <w:p w:rsidR="00000000" w:rsidDel="00000000" w:rsidP="00000000" w:rsidRDefault="00000000" w:rsidRPr="00000000" w14:paraId="00000037">
      <w:pPr>
        <w:rPr>
          <w:color w:val="0000ff"/>
          <w:sz w:val="28"/>
          <w:szCs w:val="28"/>
        </w:rPr>
      </w:pPr>
      <w:r w:rsidDel="00000000" w:rsidR="00000000" w:rsidRPr="00000000">
        <w:rPr>
          <w:rtl w:val="0"/>
        </w:rPr>
      </w:r>
    </w:p>
    <w:p w:rsidR="00000000" w:rsidDel="00000000" w:rsidP="00000000" w:rsidRDefault="00000000" w:rsidRPr="00000000" w14:paraId="00000038">
      <w:pPr>
        <w:rPr>
          <w:color w:val="ff0000"/>
          <w:sz w:val="28"/>
          <w:szCs w:val="28"/>
        </w:rPr>
      </w:pPr>
      <w:r w:rsidDel="00000000" w:rsidR="00000000" w:rsidRPr="00000000">
        <w:rPr>
          <w:color w:val="ff0000"/>
          <w:sz w:val="28"/>
          <w:szCs w:val="28"/>
          <w:rtl w:val="0"/>
        </w:rPr>
        <w:t xml:space="preserve">Table: Share of Property Types in the U.S. Mortgage Market: Q2 2014</w:t>
      </w:r>
    </w:p>
    <w:p w:rsidR="00000000" w:rsidDel="00000000" w:rsidP="00000000" w:rsidRDefault="00000000" w:rsidRPr="00000000" w14:paraId="00000039">
      <w:pPr>
        <w:rPr>
          <w:color w:val="ff0000"/>
          <w:sz w:val="28"/>
          <w:szCs w:val="28"/>
        </w:rPr>
      </w:pPr>
      <w:r w:rsidDel="00000000" w:rsidR="00000000" w:rsidRPr="00000000">
        <w:rPr>
          <w:rtl w:val="0"/>
        </w:rPr>
      </w:r>
    </w:p>
    <w:p w:rsidR="00000000" w:rsidDel="00000000" w:rsidP="00000000" w:rsidRDefault="00000000" w:rsidRPr="00000000" w14:paraId="0000003A">
      <w:pPr>
        <w:rPr>
          <w:color w:val="ff0000"/>
          <w:sz w:val="28"/>
          <w:szCs w:val="28"/>
        </w:rPr>
      </w:pPr>
      <w:r w:rsidDel="00000000" w:rsidR="00000000" w:rsidRPr="00000000">
        <w:rPr>
          <w:color w:val="ff0000"/>
          <w:sz w:val="28"/>
          <w:szCs w:val="28"/>
          <w:rtl w:val="0"/>
        </w:rPr>
        <w:t xml:space="preserve">Property Type   Amount ($000s) %Share</w:t>
      </w:r>
    </w:p>
    <w:p w:rsidR="00000000" w:rsidDel="00000000" w:rsidP="00000000" w:rsidRDefault="00000000" w:rsidRPr="00000000" w14:paraId="0000003B">
      <w:pPr>
        <w:rPr>
          <w:color w:val="ff0000"/>
          <w:sz w:val="28"/>
          <w:szCs w:val="28"/>
        </w:rPr>
      </w:pPr>
      <w:r w:rsidDel="00000000" w:rsidR="00000000" w:rsidRPr="00000000">
        <w:rPr>
          <w:color w:val="ff0000"/>
          <w:sz w:val="28"/>
          <w:szCs w:val="28"/>
          <w:rtl w:val="0"/>
        </w:rPr>
        <w:t xml:space="preserve">Single-family</w:t>
        <w:tab/>
        <w:t xml:space="preserve">9,855,419</w:t>
      </w:r>
    </w:p>
    <w:p w:rsidR="00000000" w:rsidDel="00000000" w:rsidP="00000000" w:rsidRDefault="00000000" w:rsidRPr="00000000" w14:paraId="0000003C">
      <w:pPr>
        <w:rPr>
          <w:color w:val="ff0000"/>
          <w:sz w:val="28"/>
          <w:szCs w:val="28"/>
        </w:rPr>
      </w:pPr>
      <w:r w:rsidDel="00000000" w:rsidR="00000000" w:rsidRPr="00000000">
        <w:rPr>
          <w:color w:val="ff0000"/>
          <w:sz w:val="28"/>
          <w:szCs w:val="28"/>
          <w:rtl w:val="0"/>
        </w:rPr>
        <w:t xml:space="preserve">Multifamily             957,581</w:t>
      </w:r>
    </w:p>
    <w:p w:rsidR="00000000" w:rsidDel="00000000" w:rsidP="00000000" w:rsidRDefault="00000000" w:rsidRPr="00000000" w14:paraId="0000003D">
      <w:pPr>
        <w:rPr>
          <w:color w:val="ff0000"/>
          <w:sz w:val="28"/>
          <w:szCs w:val="28"/>
        </w:rPr>
      </w:pPr>
      <w:r w:rsidDel="00000000" w:rsidR="00000000" w:rsidRPr="00000000">
        <w:rPr>
          <w:color w:val="ff0000"/>
          <w:sz w:val="28"/>
          <w:szCs w:val="28"/>
          <w:rtl w:val="0"/>
        </w:rPr>
        <w:t xml:space="preserve">Commercial       2,330,846</w:t>
      </w:r>
    </w:p>
    <w:p w:rsidR="00000000" w:rsidDel="00000000" w:rsidP="00000000" w:rsidRDefault="00000000" w:rsidRPr="00000000" w14:paraId="0000003E">
      <w:pPr>
        <w:rPr>
          <w:color w:val="ff0000"/>
          <w:sz w:val="28"/>
          <w:szCs w:val="28"/>
        </w:rPr>
      </w:pPr>
      <w:r w:rsidDel="00000000" w:rsidR="00000000" w:rsidRPr="00000000">
        <w:rPr>
          <w:color w:val="ff0000"/>
          <w:sz w:val="28"/>
          <w:szCs w:val="28"/>
          <w:rtl w:val="0"/>
        </w:rPr>
        <w:t xml:space="preserve">Farm                    178,775</w:t>
      </w:r>
    </w:p>
    <w:p w:rsidR="00000000" w:rsidDel="00000000" w:rsidP="00000000" w:rsidRDefault="00000000" w:rsidRPr="00000000" w14:paraId="0000003F">
      <w:pPr>
        <w:rPr>
          <w:color w:val="ff0000"/>
          <w:sz w:val="28"/>
          <w:szCs w:val="28"/>
        </w:rPr>
      </w:pPr>
      <w:r w:rsidDel="00000000" w:rsidR="00000000" w:rsidRPr="00000000">
        <w:rPr>
          <w:rtl w:val="0"/>
        </w:rPr>
      </w:r>
    </w:p>
    <w:p w:rsidR="00000000" w:rsidDel="00000000" w:rsidP="00000000" w:rsidRDefault="00000000" w:rsidRPr="00000000" w14:paraId="00000040">
      <w:pPr>
        <w:rPr>
          <w:color w:val="ff0000"/>
          <w:sz w:val="28"/>
          <w:szCs w:val="28"/>
        </w:rPr>
      </w:pPr>
      <w:r w:rsidDel="00000000" w:rsidR="00000000" w:rsidRPr="00000000">
        <w:rPr>
          <w:color w:val="ff0000"/>
          <w:sz w:val="28"/>
          <w:szCs w:val="28"/>
          <w:rtl w:val="0"/>
        </w:rPr>
        <w:t xml:space="preserve">Source: Federal Reserve Flow of Funds</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rtl w:val="0"/>
        </w:rPr>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What are the Major Government Multifamily Loan Insurance Programs</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color w:val="ff0000"/>
          <w:sz w:val="28"/>
          <w:szCs w:val="28"/>
        </w:rPr>
      </w:pPr>
      <w:r w:rsidDel="00000000" w:rsidR="00000000" w:rsidRPr="00000000">
        <w:rPr>
          <w:color w:val="ff0000"/>
          <w:sz w:val="28"/>
          <w:szCs w:val="28"/>
          <w:rtl w:val="0"/>
        </w:rPr>
        <w:t xml:space="preserve">Insert tables from pages 3-5 in CS’s Agency CMBS primer</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Ginnie Mae Multifamily MBS</w:t>
      </w:r>
    </w:p>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color w:val="0000ff"/>
          <w:sz w:val="28"/>
          <w:szCs w:val="28"/>
        </w:rPr>
      </w:pPr>
      <w:r w:rsidDel="00000000" w:rsidR="00000000" w:rsidRPr="00000000">
        <w:rPr>
          <w:color w:val="0000ff"/>
          <w:sz w:val="28"/>
          <w:szCs w:val="28"/>
          <w:rtl w:val="0"/>
        </w:rPr>
        <w:t xml:space="preserve">Like the single family sector, the multifamily sector also has a developed secondary market for government-insured loans. Since 1993, the secondary market for government-insured multifamily loans is almost completely based on the securitization of project loans in GNMA Multifamily pools.</w:t>
      </w:r>
      <w:r w:rsidDel="00000000" w:rsidR="00000000" w:rsidRPr="00000000">
        <w:rPr>
          <w:color w:val="0000ff"/>
          <w:sz w:val="28"/>
          <w:szCs w:val="28"/>
          <w:vertAlign w:val="superscript"/>
        </w:rPr>
        <w:footnoteReference w:customMarkFollows="0" w:id="0"/>
      </w:r>
      <w:r w:rsidDel="00000000" w:rsidR="00000000" w:rsidRPr="00000000">
        <w:rPr>
          <w:color w:val="0000ff"/>
          <w:sz w:val="28"/>
          <w:szCs w:val="28"/>
          <w:rtl w:val="0"/>
        </w:rPr>
        <w:t xml:space="preserve"> For example, in FY 2011, 98.6% of eligible multifamily FHA loans were placed into GNMA pools.</w:t>
      </w:r>
    </w:p>
    <w:p w:rsidR="00000000" w:rsidDel="00000000" w:rsidP="00000000" w:rsidRDefault="00000000" w:rsidRPr="00000000" w14:paraId="0000004B">
      <w:pPr>
        <w:rPr>
          <w:color w:val="0000ff"/>
          <w:sz w:val="28"/>
          <w:szCs w:val="28"/>
        </w:rPr>
      </w:pPr>
      <w:r w:rsidDel="00000000" w:rsidR="00000000" w:rsidRPr="00000000">
        <w:rPr>
          <w:rtl w:val="0"/>
        </w:rPr>
      </w:r>
    </w:p>
    <w:p w:rsidR="00000000" w:rsidDel="00000000" w:rsidP="00000000" w:rsidRDefault="00000000" w:rsidRPr="00000000" w14:paraId="0000004C">
      <w:pPr>
        <w:rPr>
          <w:color w:val="0000ff"/>
          <w:sz w:val="28"/>
          <w:szCs w:val="28"/>
        </w:rPr>
      </w:pPr>
      <w:r w:rsidDel="00000000" w:rsidR="00000000" w:rsidRPr="00000000">
        <w:rPr>
          <w:color w:val="0000ff"/>
          <w:sz w:val="28"/>
          <w:szCs w:val="28"/>
          <w:rtl w:val="0"/>
        </w:rPr>
        <w:t xml:space="preserve">Since 2001, the substantial majority of all GNMA Multifamily pools are securitized in GNMA Multifamily REMICs (CMOs).</w:t>
      </w:r>
      <w:r w:rsidDel="00000000" w:rsidR="00000000" w:rsidRPr="00000000">
        <w:rPr>
          <w:color w:val="0000ff"/>
          <w:sz w:val="28"/>
          <w:szCs w:val="28"/>
          <w:vertAlign w:val="superscript"/>
        </w:rPr>
        <w:footnoteReference w:customMarkFollows="0" w:id="1"/>
      </w:r>
      <w:r w:rsidDel="00000000" w:rsidR="00000000" w:rsidRPr="00000000">
        <w:rPr>
          <w:color w:val="0000ff"/>
          <w:sz w:val="28"/>
          <w:szCs w:val="28"/>
          <w:rtl w:val="0"/>
        </w:rPr>
        <w:t xml:space="preserve"> As of December 2011, there were approximately $61bb in outstanding GNMA multifamily pools. According to Intex, the outstanding balance of GNMA multifamily CMOs as of the same date is roughly $44bb. As the difference between the two numbers suggests, not all government-insured multifamily pools are securitized in GNMA REMICs. For example, a portion of a GNMA multifamily pool may be acquired by a commercial bank in order to satisfy CRA requirements.</w:t>
      </w:r>
      <w:r w:rsidDel="00000000" w:rsidR="00000000" w:rsidRPr="00000000">
        <w:rPr>
          <w:color w:val="0000ff"/>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4D">
      <w:pPr>
        <w:rPr>
          <w:color w:val="0000ff"/>
          <w:sz w:val="28"/>
          <w:szCs w:val="28"/>
        </w:rPr>
      </w:pPr>
      <w:r w:rsidDel="00000000" w:rsidR="00000000" w:rsidRPr="00000000">
        <w:rPr>
          <w:rtl w:val="0"/>
        </w:rPr>
      </w:r>
    </w:p>
    <w:p w:rsidR="00000000" w:rsidDel="00000000" w:rsidP="00000000" w:rsidRDefault="00000000" w:rsidRPr="00000000" w14:paraId="0000004E">
      <w:pPr>
        <w:rPr>
          <w:color w:val="0000ff"/>
          <w:sz w:val="28"/>
          <w:szCs w:val="28"/>
        </w:rPr>
      </w:pPr>
      <w:r w:rsidDel="00000000" w:rsidR="00000000" w:rsidRPr="00000000">
        <w:rPr>
          <w:color w:val="0000ff"/>
          <w:sz w:val="28"/>
          <w:szCs w:val="28"/>
          <w:rtl w:val="0"/>
        </w:rPr>
        <w:t xml:space="preserve">A typical GNMA REMIC deal includes 40 to 100 project loans, which are mostly 35- to 40-year fully amortizing mortgages. Average deal size has been approximately $325mm since 2010. Project loans back a number of distinct property types including:</w:t>
      </w:r>
    </w:p>
    <w:p w:rsidR="00000000" w:rsidDel="00000000" w:rsidP="00000000" w:rsidRDefault="00000000" w:rsidRPr="00000000" w14:paraId="0000004F">
      <w:pPr>
        <w:rPr>
          <w:color w:val="0000ff"/>
          <w:sz w:val="28"/>
          <w:szCs w:val="28"/>
        </w:rPr>
      </w:pPr>
      <w:r w:rsidDel="00000000" w:rsidR="00000000" w:rsidRPr="00000000">
        <w:rPr>
          <w:rtl w:val="0"/>
        </w:rPr>
      </w:r>
    </w:p>
    <w:p w:rsidR="00000000" w:rsidDel="00000000" w:rsidP="00000000" w:rsidRDefault="00000000" w:rsidRPr="00000000" w14:paraId="00000050">
      <w:pPr>
        <w:numPr>
          <w:ilvl w:val="0"/>
          <w:numId w:val="5"/>
        </w:numPr>
        <w:ind w:left="720" w:hanging="360"/>
        <w:rPr>
          <w:color w:val="0000ff"/>
          <w:sz w:val="28"/>
          <w:szCs w:val="28"/>
          <w:u w:val="none"/>
        </w:rPr>
      </w:pPr>
      <w:r w:rsidDel="00000000" w:rsidR="00000000" w:rsidRPr="00000000">
        <w:rPr>
          <w:color w:val="0000ff"/>
          <w:sz w:val="28"/>
          <w:szCs w:val="28"/>
          <w:rtl w:val="0"/>
        </w:rPr>
        <w:t xml:space="preserve">Low- and moderate-income multifamily housing;</w:t>
      </w:r>
    </w:p>
    <w:p w:rsidR="00000000" w:rsidDel="00000000" w:rsidP="00000000" w:rsidRDefault="00000000" w:rsidRPr="00000000" w14:paraId="00000051">
      <w:pPr>
        <w:numPr>
          <w:ilvl w:val="0"/>
          <w:numId w:val="5"/>
        </w:numPr>
        <w:ind w:left="720" w:hanging="360"/>
        <w:rPr>
          <w:color w:val="0000ff"/>
          <w:sz w:val="28"/>
          <w:szCs w:val="28"/>
          <w:u w:val="none"/>
        </w:rPr>
      </w:pPr>
      <w:r w:rsidDel="00000000" w:rsidR="00000000" w:rsidRPr="00000000">
        <w:rPr>
          <w:color w:val="0000ff"/>
          <w:sz w:val="28"/>
          <w:szCs w:val="28"/>
          <w:rtl w:val="0"/>
        </w:rPr>
        <w:t xml:space="preserve">Nursing homes and assisted living facilities for the elderly;</w:t>
      </w:r>
    </w:p>
    <w:p w:rsidR="00000000" w:rsidDel="00000000" w:rsidP="00000000" w:rsidRDefault="00000000" w:rsidRPr="00000000" w14:paraId="00000052">
      <w:pPr>
        <w:numPr>
          <w:ilvl w:val="0"/>
          <w:numId w:val="5"/>
        </w:numPr>
        <w:ind w:left="720" w:hanging="360"/>
        <w:rPr>
          <w:color w:val="0000ff"/>
          <w:sz w:val="28"/>
          <w:szCs w:val="28"/>
          <w:u w:val="none"/>
        </w:rPr>
      </w:pPr>
      <w:r w:rsidDel="00000000" w:rsidR="00000000" w:rsidRPr="00000000">
        <w:rPr>
          <w:color w:val="0000ff"/>
          <w:sz w:val="28"/>
          <w:szCs w:val="28"/>
          <w:rtl w:val="0"/>
        </w:rPr>
        <w:t xml:space="preserve">Hospital and health care centers; and,</w:t>
      </w:r>
    </w:p>
    <w:p w:rsidR="00000000" w:rsidDel="00000000" w:rsidP="00000000" w:rsidRDefault="00000000" w:rsidRPr="00000000" w14:paraId="00000053">
      <w:pPr>
        <w:numPr>
          <w:ilvl w:val="0"/>
          <w:numId w:val="5"/>
        </w:numPr>
        <w:ind w:left="720" w:hanging="360"/>
        <w:rPr>
          <w:color w:val="0000ff"/>
          <w:sz w:val="28"/>
          <w:szCs w:val="28"/>
          <w:u w:val="none"/>
        </w:rPr>
      </w:pPr>
      <w:r w:rsidDel="00000000" w:rsidR="00000000" w:rsidRPr="00000000">
        <w:rPr>
          <w:color w:val="0000ff"/>
          <w:sz w:val="28"/>
          <w:szCs w:val="28"/>
          <w:rtl w:val="0"/>
        </w:rPr>
        <w:t xml:space="preserve">Condominiums, Cooperatives, multifamily rental units and rental developments.</w:t>
      </w:r>
    </w:p>
    <w:p w:rsidR="00000000" w:rsidDel="00000000" w:rsidP="00000000" w:rsidRDefault="00000000" w:rsidRPr="00000000" w14:paraId="00000054">
      <w:pPr>
        <w:rPr>
          <w:color w:val="0000ff"/>
          <w:sz w:val="28"/>
          <w:szCs w:val="28"/>
        </w:rPr>
      </w:pPr>
      <w:r w:rsidDel="00000000" w:rsidR="00000000" w:rsidRPr="00000000">
        <w:rPr>
          <w:rtl w:val="0"/>
        </w:rPr>
      </w:r>
    </w:p>
    <w:p w:rsidR="00000000" w:rsidDel="00000000" w:rsidP="00000000" w:rsidRDefault="00000000" w:rsidRPr="00000000" w14:paraId="00000055">
      <w:pPr>
        <w:rPr>
          <w:color w:val="0000ff"/>
          <w:sz w:val="28"/>
          <w:szCs w:val="28"/>
        </w:rPr>
      </w:pPr>
      <w:r w:rsidDel="00000000" w:rsidR="00000000" w:rsidRPr="00000000">
        <w:rPr>
          <w:color w:val="0000ff"/>
          <w:sz w:val="28"/>
          <w:szCs w:val="28"/>
          <w:rtl w:val="0"/>
        </w:rPr>
        <w:t xml:space="preserve">Project loans are originated and underwritten by a network of HUD-approved private lenders based on FHA statutory requirements. Top originators include Berkadia Commercial Mortgage, P/R Mortgage &amp; Investment Corp. etc.</w:t>
      </w:r>
    </w:p>
    <w:p w:rsidR="00000000" w:rsidDel="00000000" w:rsidP="00000000" w:rsidRDefault="00000000" w:rsidRPr="00000000" w14:paraId="00000056">
      <w:pPr>
        <w:rPr>
          <w:color w:val="0000ff"/>
          <w:sz w:val="28"/>
          <w:szCs w:val="28"/>
        </w:rPr>
      </w:pPr>
      <w:r w:rsidDel="00000000" w:rsidR="00000000" w:rsidRPr="00000000">
        <w:rPr>
          <w:rtl w:val="0"/>
        </w:rPr>
      </w:r>
    </w:p>
    <w:p w:rsidR="00000000" w:rsidDel="00000000" w:rsidP="00000000" w:rsidRDefault="00000000" w:rsidRPr="00000000" w14:paraId="00000057">
      <w:pPr>
        <w:rPr>
          <w:color w:val="0000ff"/>
          <w:sz w:val="28"/>
          <w:szCs w:val="28"/>
        </w:rPr>
      </w:pPr>
      <w:r w:rsidDel="00000000" w:rsidR="00000000" w:rsidRPr="00000000">
        <w:rPr>
          <w:color w:val="0000ff"/>
          <w:sz w:val="28"/>
          <w:szCs w:val="28"/>
          <w:rtl w:val="0"/>
        </w:rPr>
        <w:t xml:space="preserve">Each project loan is underwritten according to the guidelines of the specific section of the act by which it is authorized (e.g., Section 221(d)(4) for new construction multifamily or Section 232 for healthcare project loans).</w:t>
      </w:r>
    </w:p>
    <w:p w:rsidR="00000000" w:rsidDel="00000000" w:rsidP="00000000" w:rsidRDefault="00000000" w:rsidRPr="00000000" w14:paraId="00000058">
      <w:pPr>
        <w:rPr>
          <w:color w:val="0000ff"/>
          <w:sz w:val="28"/>
          <w:szCs w:val="28"/>
        </w:rPr>
      </w:pPr>
      <w:r w:rsidDel="00000000" w:rsidR="00000000" w:rsidRPr="00000000">
        <w:rPr>
          <w:rtl w:val="0"/>
        </w:rPr>
      </w:r>
    </w:p>
    <w:p w:rsidR="00000000" w:rsidDel="00000000" w:rsidP="00000000" w:rsidRDefault="00000000" w:rsidRPr="00000000" w14:paraId="00000059">
      <w:pPr>
        <w:rPr>
          <w:color w:val="0000ff"/>
          <w:sz w:val="28"/>
          <w:szCs w:val="28"/>
        </w:rPr>
      </w:pPr>
      <w:r w:rsidDel="00000000" w:rsidR="00000000" w:rsidRPr="00000000">
        <w:rPr>
          <w:color w:val="0000ff"/>
          <w:sz w:val="28"/>
          <w:szCs w:val="28"/>
          <w:rtl w:val="0"/>
        </w:rPr>
        <w:t xml:space="preserve">Almost every pool is backed by a single FHA project loan (~99% by count). Therefore, one uses the term “project loan” interchangeably with “Ginnie Mae pool.” Originators typically retain the servicing rights with a typical servicing fee of 12bps.</w:t>
      </w:r>
    </w:p>
    <w:p w:rsidR="00000000" w:rsidDel="00000000" w:rsidP="00000000" w:rsidRDefault="00000000" w:rsidRPr="00000000" w14:paraId="0000005A">
      <w:pPr>
        <w:rPr>
          <w:color w:val="0000ff"/>
          <w:sz w:val="28"/>
          <w:szCs w:val="28"/>
        </w:rPr>
      </w:pPr>
      <w:r w:rsidDel="00000000" w:rsidR="00000000" w:rsidRPr="00000000">
        <w:rPr>
          <w:rtl w:val="0"/>
        </w:rPr>
      </w:r>
    </w:p>
    <w:p w:rsidR="00000000" w:rsidDel="00000000" w:rsidP="00000000" w:rsidRDefault="00000000" w:rsidRPr="00000000" w14:paraId="0000005B">
      <w:pPr>
        <w:rPr>
          <w:color w:val="0000ff"/>
          <w:sz w:val="28"/>
          <w:szCs w:val="28"/>
        </w:rPr>
      </w:pPr>
      <w:r w:rsidDel="00000000" w:rsidR="00000000" w:rsidRPr="00000000">
        <w:rPr>
          <w:color w:val="0000ff"/>
          <w:sz w:val="28"/>
          <w:szCs w:val="28"/>
          <w:rtl w:val="0"/>
        </w:rPr>
        <w:t xml:space="preserve">The underwriting criteria for project loans has been reasonably consistent over the last decade as compared to the underwriting on private-label CMBS multifamily loans which had become frothier (e.g., pro-forma loans</w:t>
      </w:r>
      <w:r w:rsidDel="00000000" w:rsidR="00000000" w:rsidRPr="00000000">
        <w:rPr>
          <w:color w:val="0000ff"/>
          <w:sz w:val="28"/>
          <w:szCs w:val="28"/>
          <w:vertAlign w:val="superscript"/>
        </w:rPr>
        <w:footnoteReference w:customMarkFollows="0" w:id="3"/>
      </w:r>
      <w:r w:rsidDel="00000000" w:rsidR="00000000" w:rsidRPr="00000000">
        <w:rPr>
          <w:color w:val="0000ff"/>
          <w:sz w:val="28"/>
          <w:szCs w:val="28"/>
          <w:rtl w:val="0"/>
        </w:rPr>
        <w:t xml:space="preserve">) prior to the recession. HUD slightly tightened underwriting requirements in September 2010. </w:t>
      </w:r>
    </w:p>
    <w:p w:rsidR="00000000" w:rsidDel="00000000" w:rsidP="00000000" w:rsidRDefault="00000000" w:rsidRPr="00000000" w14:paraId="0000005C">
      <w:pPr>
        <w:rPr>
          <w:color w:val="0000ff"/>
          <w:sz w:val="28"/>
          <w:szCs w:val="28"/>
        </w:rPr>
      </w:pPr>
      <w:r w:rsidDel="00000000" w:rsidR="00000000" w:rsidRPr="00000000">
        <w:rPr>
          <w:rtl w:val="0"/>
        </w:rPr>
      </w:r>
    </w:p>
    <w:p w:rsidR="00000000" w:rsidDel="00000000" w:rsidP="00000000" w:rsidRDefault="00000000" w:rsidRPr="00000000" w14:paraId="0000005D">
      <w:pPr>
        <w:rPr>
          <w:color w:val="0000ff"/>
          <w:sz w:val="28"/>
          <w:szCs w:val="28"/>
        </w:rPr>
      </w:pPr>
      <w:r w:rsidDel="00000000" w:rsidR="00000000" w:rsidRPr="00000000">
        <w:rPr>
          <w:color w:val="0000ff"/>
          <w:sz w:val="28"/>
          <w:szCs w:val="28"/>
          <w:rtl w:val="0"/>
        </w:rPr>
        <w:t xml:space="preserve">The minimum DSCR required is generally 1.15 to 1.20x across different sections (1.11 to 1.18x for pre-September 2010 project loans) and maximum LTVs range from 83% to 90% (compared to 85-90% for pre-September 2010 loans).</w:t>
      </w:r>
    </w:p>
    <w:p w:rsidR="00000000" w:rsidDel="00000000" w:rsidP="00000000" w:rsidRDefault="00000000" w:rsidRPr="00000000" w14:paraId="0000005E">
      <w:pPr>
        <w:rPr>
          <w:color w:val="0000ff"/>
          <w:sz w:val="28"/>
          <w:szCs w:val="28"/>
        </w:rPr>
      </w:pPr>
      <w:r w:rsidDel="00000000" w:rsidR="00000000" w:rsidRPr="00000000">
        <w:rPr>
          <w:rtl w:val="0"/>
        </w:rPr>
      </w:r>
    </w:p>
    <w:p w:rsidR="00000000" w:rsidDel="00000000" w:rsidP="00000000" w:rsidRDefault="00000000" w:rsidRPr="00000000" w14:paraId="0000005F">
      <w:pPr>
        <w:rPr>
          <w:color w:val="0000ff"/>
          <w:sz w:val="28"/>
          <w:szCs w:val="28"/>
        </w:rPr>
      </w:pPr>
      <w:r w:rsidDel="00000000" w:rsidR="00000000" w:rsidRPr="00000000">
        <w:rPr>
          <w:color w:val="0000ff"/>
          <w:sz w:val="28"/>
          <w:szCs w:val="28"/>
          <w:rtl w:val="0"/>
        </w:rPr>
        <w:t xml:space="preserve">By property type, multifamily project loans make up approximately 70% of the collateral for Ginnie Mae REMICs, and the rest are predominantly healthcare loans. Recent vintage deals may also include  a small percentage (typically less than 5%) of rural development loans.</w:t>
      </w:r>
    </w:p>
    <w:p w:rsidR="00000000" w:rsidDel="00000000" w:rsidP="00000000" w:rsidRDefault="00000000" w:rsidRPr="00000000" w14:paraId="00000060">
      <w:pPr>
        <w:rPr>
          <w:color w:val="0000ff"/>
          <w:sz w:val="28"/>
          <w:szCs w:val="28"/>
        </w:rPr>
      </w:pPr>
      <w:r w:rsidDel="00000000" w:rsidR="00000000" w:rsidRPr="00000000">
        <w:rPr>
          <w:rtl w:val="0"/>
        </w:rPr>
      </w:r>
    </w:p>
    <w:p w:rsidR="00000000" w:rsidDel="00000000" w:rsidP="00000000" w:rsidRDefault="00000000" w:rsidRPr="00000000" w14:paraId="00000061">
      <w:pPr>
        <w:rPr>
          <w:color w:val="0000ff"/>
          <w:sz w:val="28"/>
          <w:szCs w:val="28"/>
        </w:rPr>
      </w:pPr>
      <w:r w:rsidDel="00000000" w:rsidR="00000000" w:rsidRPr="00000000">
        <w:rPr>
          <w:color w:val="0000ff"/>
          <w:sz w:val="28"/>
          <w:szCs w:val="28"/>
          <w:rtl w:val="0"/>
        </w:rPr>
        <w:t xml:space="preserve">In terms of loan purpose, project loan proceeds can be used for new construction, substantial rehabilitation, acquisitions, or refinancing existing debt. Refinance project loans are typically Section 223a7 or 223f loans.</w:t>
      </w:r>
    </w:p>
    <w:p w:rsidR="00000000" w:rsidDel="00000000" w:rsidP="00000000" w:rsidRDefault="00000000" w:rsidRPr="00000000" w14:paraId="00000062">
      <w:pPr>
        <w:rPr>
          <w:color w:val="0000ff"/>
          <w:sz w:val="28"/>
          <w:szCs w:val="28"/>
        </w:rPr>
      </w:pPr>
      <w:r w:rsidDel="00000000" w:rsidR="00000000" w:rsidRPr="00000000">
        <w:rPr>
          <w:rtl w:val="0"/>
        </w:rPr>
      </w:r>
    </w:p>
    <w:p w:rsidR="00000000" w:rsidDel="00000000" w:rsidP="00000000" w:rsidRDefault="00000000" w:rsidRPr="00000000" w14:paraId="00000063">
      <w:pPr>
        <w:rPr>
          <w:color w:val="0000ff"/>
          <w:sz w:val="28"/>
          <w:szCs w:val="28"/>
        </w:rPr>
      </w:pPr>
      <w:r w:rsidDel="00000000" w:rsidR="00000000" w:rsidRPr="00000000">
        <w:rPr>
          <w:color w:val="0000ff"/>
          <w:sz w:val="28"/>
          <w:szCs w:val="28"/>
          <w:rtl w:val="0"/>
        </w:rPr>
        <w:t xml:space="preserve">The underlying project loans in Ginnie Mae REMICs can be either construction project loans (CLC) or permanent project loans (PLC). A CLC will be converted into a PLC (unless it defaults) when construction is completed upon final FHA endorsement.</w:t>
      </w:r>
    </w:p>
    <w:p w:rsidR="00000000" w:rsidDel="00000000" w:rsidP="00000000" w:rsidRDefault="00000000" w:rsidRPr="00000000" w14:paraId="00000064">
      <w:pPr>
        <w:rPr>
          <w:color w:val="0000ff"/>
          <w:sz w:val="28"/>
          <w:szCs w:val="28"/>
        </w:rPr>
      </w:pPr>
      <w:r w:rsidDel="00000000" w:rsidR="00000000" w:rsidRPr="00000000">
        <w:rPr>
          <w:rtl w:val="0"/>
        </w:rPr>
      </w:r>
    </w:p>
    <w:p w:rsidR="00000000" w:rsidDel="00000000" w:rsidP="00000000" w:rsidRDefault="00000000" w:rsidRPr="00000000" w14:paraId="00000065">
      <w:pPr>
        <w:rPr>
          <w:b w:val="1"/>
          <w:color w:val="0000ff"/>
          <w:sz w:val="28"/>
          <w:szCs w:val="28"/>
        </w:rPr>
      </w:pPr>
      <w:r w:rsidDel="00000000" w:rsidR="00000000" w:rsidRPr="00000000">
        <w:rPr>
          <w:b w:val="1"/>
          <w:color w:val="0000ff"/>
          <w:sz w:val="28"/>
          <w:szCs w:val="28"/>
          <w:rtl w:val="0"/>
        </w:rPr>
        <w:t xml:space="preserve">Project Loan Pool Characteristics</w:t>
      </w:r>
    </w:p>
    <w:p w:rsidR="00000000" w:rsidDel="00000000" w:rsidP="00000000" w:rsidRDefault="00000000" w:rsidRPr="00000000" w14:paraId="00000066">
      <w:pPr>
        <w:rPr>
          <w:color w:val="0000ff"/>
          <w:sz w:val="28"/>
          <w:szCs w:val="28"/>
        </w:rPr>
      </w:pPr>
      <w:r w:rsidDel="00000000" w:rsidR="00000000" w:rsidRPr="00000000">
        <w:rPr>
          <w:rtl w:val="0"/>
        </w:rPr>
      </w:r>
    </w:p>
    <w:p w:rsidR="00000000" w:rsidDel="00000000" w:rsidP="00000000" w:rsidRDefault="00000000" w:rsidRPr="00000000" w14:paraId="00000067">
      <w:pPr>
        <w:rPr>
          <w:color w:val="0000ff"/>
          <w:sz w:val="28"/>
          <w:szCs w:val="28"/>
        </w:rPr>
      </w:pPr>
      <w:r w:rsidDel="00000000" w:rsidR="00000000" w:rsidRPr="00000000">
        <w:rPr>
          <w:color w:val="0000ff"/>
          <w:sz w:val="28"/>
          <w:szCs w:val="28"/>
          <w:rtl w:val="0"/>
        </w:rPr>
        <w:t xml:space="preserve">Project Loan pools come with a number of suffixes (PL, PN, LM, LS, RX). </w:t>
      </w:r>
    </w:p>
    <w:p w:rsidR="00000000" w:rsidDel="00000000" w:rsidP="00000000" w:rsidRDefault="00000000" w:rsidRPr="00000000" w14:paraId="00000068">
      <w:pPr>
        <w:rPr>
          <w:color w:val="0000ff"/>
          <w:sz w:val="28"/>
          <w:szCs w:val="28"/>
        </w:rPr>
      </w:pPr>
      <w:r w:rsidDel="00000000" w:rsidR="00000000" w:rsidRPr="00000000">
        <w:rPr>
          <w:rtl w:val="0"/>
        </w:rPr>
      </w:r>
    </w:p>
    <w:p w:rsidR="00000000" w:rsidDel="00000000" w:rsidP="00000000" w:rsidRDefault="00000000" w:rsidRPr="00000000" w14:paraId="00000069">
      <w:pPr>
        <w:rPr>
          <w:color w:val="0000ff"/>
          <w:sz w:val="28"/>
          <w:szCs w:val="28"/>
        </w:rPr>
      </w:pPr>
      <w:r w:rsidDel="00000000" w:rsidR="00000000" w:rsidRPr="00000000">
        <w:rPr>
          <w:color w:val="0000ff"/>
          <w:sz w:val="28"/>
          <w:szCs w:val="28"/>
          <w:rtl w:val="0"/>
        </w:rPr>
        <w:t xml:space="preserve">The GNMA guarantee fee is 13bps. The minimum servicing fee is 12bps. The minimum spread between the mortgage and the security interest rate is, therefore, 25bps. The spread may not exceed 50bps without GNMA’s approval with the exception of LS and RX pools, or a pool backed by an RD loan.</w:t>
      </w:r>
    </w:p>
    <w:p w:rsidR="00000000" w:rsidDel="00000000" w:rsidP="00000000" w:rsidRDefault="00000000" w:rsidRPr="00000000" w14:paraId="0000006A">
      <w:pPr>
        <w:rPr>
          <w:color w:val="0000ff"/>
          <w:sz w:val="28"/>
          <w:szCs w:val="28"/>
        </w:rPr>
      </w:pPr>
      <w:r w:rsidDel="00000000" w:rsidR="00000000" w:rsidRPr="00000000">
        <w:rPr>
          <w:rtl w:val="0"/>
        </w:rPr>
      </w:r>
    </w:p>
    <w:p w:rsidR="00000000" w:rsidDel="00000000" w:rsidP="00000000" w:rsidRDefault="00000000" w:rsidRPr="00000000" w14:paraId="0000006B">
      <w:pPr>
        <w:rPr>
          <w:color w:val="0000ff"/>
          <w:sz w:val="28"/>
          <w:szCs w:val="28"/>
        </w:rPr>
      </w:pPr>
      <w:r w:rsidDel="00000000" w:rsidR="00000000" w:rsidRPr="00000000">
        <w:rPr>
          <w:color w:val="0000ff"/>
          <w:sz w:val="28"/>
          <w:szCs w:val="28"/>
          <w:rtl w:val="0"/>
        </w:rPr>
        <w:t xml:space="preserve">A project loan pool, other than an LS or RX pool, may consist of only one mortgage, representing a single loan on a completed project. An LS, RX, or Rural Development pool may consist of one or more mortgages, each of which represents a loan on a completed project.</w:t>
      </w:r>
    </w:p>
    <w:p w:rsidR="00000000" w:rsidDel="00000000" w:rsidP="00000000" w:rsidRDefault="00000000" w:rsidRPr="00000000" w14:paraId="0000006C">
      <w:pPr>
        <w:rPr>
          <w:color w:val="0000ff"/>
          <w:sz w:val="28"/>
          <w:szCs w:val="28"/>
        </w:rPr>
      </w:pPr>
      <w:r w:rsidDel="00000000" w:rsidR="00000000" w:rsidRPr="00000000">
        <w:rPr>
          <w:rtl w:val="0"/>
        </w:rPr>
      </w:r>
    </w:p>
    <w:p w:rsidR="00000000" w:rsidDel="00000000" w:rsidP="00000000" w:rsidRDefault="00000000" w:rsidRPr="00000000" w14:paraId="0000006D">
      <w:pPr>
        <w:rPr>
          <w:color w:val="0000ff"/>
          <w:sz w:val="28"/>
          <w:szCs w:val="28"/>
        </w:rPr>
      </w:pPr>
      <w:r w:rsidDel="00000000" w:rsidR="00000000" w:rsidRPr="00000000">
        <w:rPr>
          <w:color w:val="0000ff"/>
          <w:sz w:val="28"/>
          <w:szCs w:val="28"/>
          <w:rtl w:val="0"/>
        </w:rPr>
        <w:t xml:space="preserve">As of the issue date, the remaining principal balance of the mortgage must be at least $250,000.</w:t>
      </w:r>
    </w:p>
    <w:p w:rsidR="00000000" w:rsidDel="00000000" w:rsidP="00000000" w:rsidRDefault="00000000" w:rsidRPr="00000000" w14:paraId="0000006E">
      <w:pPr>
        <w:rPr>
          <w:color w:val="0000ff"/>
          <w:sz w:val="28"/>
          <w:szCs w:val="28"/>
        </w:rPr>
      </w:pPr>
      <w:r w:rsidDel="00000000" w:rsidR="00000000" w:rsidRPr="00000000">
        <w:rPr>
          <w:rtl w:val="0"/>
        </w:rPr>
      </w:r>
    </w:p>
    <w:p w:rsidR="00000000" w:rsidDel="00000000" w:rsidP="00000000" w:rsidRDefault="00000000" w:rsidRPr="00000000" w14:paraId="0000006F">
      <w:pPr>
        <w:rPr>
          <w:color w:val="0000ff"/>
          <w:sz w:val="28"/>
          <w:szCs w:val="28"/>
        </w:rPr>
      </w:pPr>
      <w:r w:rsidDel="00000000" w:rsidR="00000000" w:rsidRPr="00000000">
        <w:rPr>
          <w:color w:val="0000ff"/>
          <w:sz w:val="28"/>
          <w:szCs w:val="28"/>
          <w:rtl w:val="0"/>
        </w:rPr>
        <w:t xml:space="preserve">Any mortgage, otherwise eligible, that is not a fixed-rate, fully amortizing loan may not be pooled as a PL pool. Such loans may be pooled as PN, LM, RX, or LS pools if other requirements for such pools are satisfied.</w:t>
      </w:r>
    </w:p>
    <w:p w:rsidR="00000000" w:rsidDel="00000000" w:rsidP="00000000" w:rsidRDefault="00000000" w:rsidRPr="00000000" w14:paraId="00000070">
      <w:pPr>
        <w:rPr>
          <w:b w:val="1"/>
          <w:color w:val="0000ff"/>
          <w:sz w:val="28"/>
          <w:szCs w:val="28"/>
        </w:rPr>
      </w:pPr>
      <w:r w:rsidDel="00000000" w:rsidR="00000000" w:rsidRPr="00000000">
        <w:rPr>
          <w:b w:val="1"/>
          <w:color w:val="0000ff"/>
          <w:sz w:val="28"/>
          <w:szCs w:val="28"/>
          <w:rtl w:val="0"/>
        </w:rPr>
        <w:t xml:space="preserve">Construction Loan Pool Characteristics</w:t>
      </w:r>
    </w:p>
    <w:p w:rsidR="00000000" w:rsidDel="00000000" w:rsidP="00000000" w:rsidRDefault="00000000" w:rsidRPr="00000000" w14:paraId="00000071">
      <w:pPr>
        <w:rPr>
          <w:color w:val="0000ff"/>
          <w:sz w:val="28"/>
          <w:szCs w:val="28"/>
        </w:rPr>
      </w:pPr>
      <w:r w:rsidDel="00000000" w:rsidR="00000000" w:rsidRPr="00000000">
        <w:rPr>
          <w:rtl w:val="0"/>
        </w:rPr>
      </w:r>
    </w:p>
    <w:p w:rsidR="00000000" w:rsidDel="00000000" w:rsidP="00000000" w:rsidRDefault="00000000" w:rsidRPr="00000000" w14:paraId="00000072">
      <w:pPr>
        <w:rPr>
          <w:color w:val="0000ff"/>
          <w:sz w:val="28"/>
          <w:szCs w:val="28"/>
        </w:rPr>
      </w:pPr>
      <w:r w:rsidDel="00000000" w:rsidR="00000000" w:rsidRPr="00000000">
        <w:rPr>
          <w:color w:val="0000ff"/>
          <w:sz w:val="28"/>
          <w:szCs w:val="28"/>
          <w:rtl w:val="0"/>
        </w:rPr>
        <w:t xml:space="preserve">CL and CS pools</w:t>
      </w:r>
    </w:p>
    <w:p w:rsidR="00000000" w:rsidDel="00000000" w:rsidP="00000000" w:rsidRDefault="00000000" w:rsidRPr="00000000" w14:paraId="00000073">
      <w:pPr>
        <w:rPr>
          <w:color w:val="0000ff"/>
          <w:sz w:val="28"/>
          <w:szCs w:val="28"/>
        </w:rPr>
      </w:pPr>
      <w:r w:rsidDel="00000000" w:rsidR="00000000" w:rsidRPr="00000000">
        <w:rPr>
          <w:rtl w:val="0"/>
        </w:rPr>
      </w:r>
    </w:p>
    <w:p w:rsidR="00000000" w:rsidDel="00000000" w:rsidP="00000000" w:rsidRDefault="00000000" w:rsidRPr="00000000" w14:paraId="00000074">
      <w:pPr>
        <w:rPr>
          <w:b w:val="1"/>
          <w:color w:val="0000ff"/>
          <w:sz w:val="28"/>
          <w:szCs w:val="28"/>
        </w:rPr>
      </w:pPr>
      <w:r w:rsidDel="00000000" w:rsidR="00000000" w:rsidRPr="00000000">
        <w:rPr>
          <w:b w:val="1"/>
          <w:color w:val="0000ff"/>
          <w:sz w:val="28"/>
          <w:szCs w:val="28"/>
          <w:rtl w:val="0"/>
        </w:rPr>
        <w:t xml:space="preserve">Lockouts and Prepayment Penalties</w:t>
      </w:r>
    </w:p>
    <w:p w:rsidR="00000000" w:rsidDel="00000000" w:rsidP="00000000" w:rsidRDefault="00000000" w:rsidRPr="00000000" w14:paraId="00000075">
      <w:pPr>
        <w:rPr>
          <w:color w:val="0000ff"/>
          <w:sz w:val="28"/>
          <w:szCs w:val="28"/>
        </w:rPr>
      </w:pPr>
      <w:r w:rsidDel="00000000" w:rsidR="00000000" w:rsidRPr="00000000">
        <w:rPr>
          <w:rtl w:val="0"/>
        </w:rPr>
      </w:r>
    </w:p>
    <w:p w:rsidR="00000000" w:rsidDel="00000000" w:rsidP="00000000" w:rsidRDefault="00000000" w:rsidRPr="00000000" w14:paraId="00000076">
      <w:pPr>
        <w:rPr>
          <w:color w:val="0000ff"/>
          <w:sz w:val="28"/>
          <w:szCs w:val="28"/>
        </w:rPr>
      </w:pPr>
      <w:r w:rsidDel="00000000" w:rsidR="00000000" w:rsidRPr="00000000">
        <w:rPr>
          <w:color w:val="0000ff"/>
          <w:sz w:val="28"/>
          <w:szCs w:val="28"/>
          <w:rtl w:val="0"/>
        </w:rPr>
        <w:t xml:space="preserve">The refinancing risk associated with a project loan is mitigated through blanket restrictions on prepayments (lockouts) for a specified period of time followed by a period in which prepayments are possible upon payment of a fee. The lockout period ranges from 5 to 10 years. Post-prepayment lockout penalties depend on the term of the initial lockout period -- 10-year lockouts do not typically have post-lockout penalties while loans with 5-year lockouts typically have a sliding penalty schedule of 5 points during year 6, declining by a point a year until year 10. After year 10, voluntary prepayments are free of penalties.</w:t>
      </w:r>
    </w:p>
    <w:p w:rsidR="00000000" w:rsidDel="00000000" w:rsidP="00000000" w:rsidRDefault="00000000" w:rsidRPr="00000000" w14:paraId="00000077">
      <w:pPr>
        <w:rPr>
          <w:color w:val="0000ff"/>
          <w:sz w:val="28"/>
          <w:szCs w:val="28"/>
        </w:rPr>
      </w:pPr>
      <w:r w:rsidDel="00000000" w:rsidR="00000000" w:rsidRPr="00000000">
        <w:rPr>
          <w:rtl w:val="0"/>
        </w:rPr>
      </w:r>
    </w:p>
    <w:p w:rsidR="00000000" w:rsidDel="00000000" w:rsidP="00000000" w:rsidRDefault="00000000" w:rsidRPr="00000000" w14:paraId="00000078">
      <w:pPr>
        <w:rPr>
          <w:color w:val="0000ff"/>
          <w:sz w:val="28"/>
          <w:szCs w:val="28"/>
        </w:rPr>
      </w:pPr>
      <w:r w:rsidDel="00000000" w:rsidR="00000000" w:rsidRPr="00000000">
        <w:rPr>
          <w:color w:val="0000ff"/>
          <w:sz w:val="28"/>
          <w:szCs w:val="28"/>
          <w:rtl w:val="0"/>
        </w:rPr>
        <w:t xml:space="preserve">The most commonly used call provision in recent years has been a 2-year lockout followed by a declining eight-year penalty which starts at 8% of the outstanding principal in year and declines 1% per year after that. We refer to this a “2/8”.</w:t>
      </w:r>
    </w:p>
    <w:p w:rsidR="00000000" w:rsidDel="00000000" w:rsidP="00000000" w:rsidRDefault="00000000" w:rsidRPr="00000000" w14:paraId="00000079">
      <w:pPr>
        <w:rPr>
          <w:color w:val="0000ff"/>
          <w:sz w:val="28"/>
          <w:szCs w:val="28"/>
        </w:rPr>
      </w:pPr>
      <w:r w:rsidDel="00000000" w:rsidR="00000000" w:rsidRPr="00000000">
        <w:rPr>
          <w:rtl w:val="0"/>
        </w:rPr>
      </w:r>
    </w:p>
    <w:p w:rsidR="00000000" w:rsidDel="00000000" w:rsidP="00000000" w:rsidRDefault="00000000" w:rsidRPr="00000000" w14:paraId="0000007A">
      <w:pPr>
        <w:rPr>
          <w:b w:val="1"/>
          <w:color w:val="0000ff"/>
          <w:sz w:val="28"/>
          <w:szCs w:val="28"/>
        </w:rPr>
      </w:pPr>
      <w:r w:rsidDel="00000000" w:rsidR="00000000" w:rsidRPr="00000000">
        <w:rPr>
          <w:b w:val="1"/>
          <w:color w:val="0000ff"/>
          <w:sz w:val="28"/>
          <w:szCs w:val="28"/>
          <w:rtl w:val="0"/>
        </w:rPr>
        <w:t xml:space="preserve">Deal Structure</w:t>
      </w:r>
    </w:p>
    <w:p w:rsidR="00000000" w:rsidDel="00000000" w:rsidP="00000000" w:rsidRDefault="00000000" w:rsidRPr="00000000" w14:paraId="0000007B">
      <w:pPr>
        <w:rPr>
          <w:color w:val="0000ff"/>
          <w:sz w:val="28"/>
          <w:szCs w:val="28"/>
        </w:rPr>
      </w:pPr>
      <w:r w:rsidDel="00000000" w:rsidR="00000000" w:rsidRPr="00000000">
        <w:rPr>
          <w:color w:val="0000ff"/>
          <w:sz w:val="28"/>
          <w:szCs w:val="28"/>
          <w:rtl w:val="0"/>
        </w:rPr>
        <w:t xml:space="preserve">A typical GNMA REMIC deal has four sequential pays classes with average lives of 3-, 5-, 8- and 12-years respectively. A 20-year class Z accrues interest that goes to pay down those four classes first while adding to the principal balance of the Z class. An IO class gets the excess interest and in additional receives all the prepayment penalties collected by the trustee.</w:t>
      </w:r>
    </w:p>
    <w:p w:rsidR="00000000" w:rsidDel="00000000" w:rsidP="00000000" w:rsidRDefault="00000000" w:rsidRPr="00000000" w14:paraId="0000007C">
      <w:pPr>
        <w:rPr>
          <w:color w:val="0000ff"/>
          <w:sz w:val="28"/>
          <w:szCs w:val="28"/>
        </w:rPr>
      </w:pPr>
      <w:r w:rsidDel="00000000" w:rsidR="00000000" w:rsidRPr="00000000">
        <w:rPr>
          <w:rtl w:val="0"/>
        </w:rPr>
      </w:r>
    </w:p>
    <w:p w:rsidR="00000000" w:rsidDel="00000000" w:rsidP="00000000" w:rsidRDefault="00000000" w:rsidRPr="00000000" w14:paraId="0000007D">
      <w:pPr>
        <w:rPr>
          <w:color w:val="0000ff"/>
          <w:sz w:val="28"/>
          <w:szCs w:val="28"/>
        </w:rPr>
      </w:pPr>
      <w:r w:rsidDel="00000000" w:rsidR="00000000" w:rsidRPr="00000000">
        <w:rPr>
          <w:color w:val="ff0000"/>
          <w:sz w:val="28"/>
          <w:szCs w:val="28"/>
          <w:rtl w:val="0"/>
        </w:rPr>
        <w:t xml:space="preserve">Insert exhibit 3 from Credit Suisse primer</w:t>
      </w: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b w:val="1"/>
          <w:color w:val="0000ff"/>
          <w:sz w:val="28"/>
          <w:szCs w:val="28"/>
        </w:rPr>
      </w:pPr>
      <w:r w:rsidDel="00000000" w:rsidR="00000000" w:rsidRPr="00000000">
        <w:rPr>
          <w:b w:val="1"/>
          <w:color w:val="0000ff"/>
          <w:sz w:val="28"/>
          <w:szCs w:val="28"/>
          <w:rtl w:val="0"/>
        </w:rPr>
        <w:t xml:space="preserve">Market Pricing Convention</w:t>
      </w:r>
    </w:p>
    <w:p w:rsidR="00000000" w:rsidDel="00000000" w:rsidP="00000000" w:rsidRDefault="00000000" w:rsidRPr="00000000" w14:paraId="00000080">
      <w:pPr>
        <w:rPr>
          <w:sz w:val="28"/>
          <w:szCs w:val="28"/>
        </w:rPr>
      </w:pPr>
      <w:r w:rsidDel="00000000" w:rsidR="00000000" w:rsidRPr="00000000">
        <w:rPr>
          <w:color w:val="0000ff"/>
          <w:sz w:val="28"/>
          <w:szCs w:val="28"/>
          <w:rtl w:val="0"/>
        </w:rPr>
        <w:t xml:space="preserve">The market pricing convention is 15% CPJ, which is a combination of a Project Loan Default Curve (PLD) and a flat 15% CPR for voluntary prepayments. </w:t>
      </w: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b w:val="1"/>
          <w:sz w:val="28"/>
          <w:szCs w:val="28"/>
        </w:rPr>
      </w:pPr>
      <w:r w:rsidDel="00000000" w:rsidR="00000000" w:rsidRPr="00000000">
        <w:rPr>
          <w:b w:val="1"/>
          <w:sz w:val="28"/>
          <w:szCs w:val="28"/>
          <w:rtl w:val="0"/>
        </w:rPr>
        <w:t xml:space="preserve">Ginnie Mae Multifamily Prepayments and Prepayment Modeling</w:t>
      </w:r>
    </w:p>
    <w:p w:rsidR="00000000" w:rsidDel="00000000" w:rsidP="00000000" w:rsidRDefault="00000000" w:rsidRPr="00000000" w14:paraId="00000083">
      <w:pPr>
        <w:rPr>
          <w:b w:val="1"/>
          <w:sz w:val="28"/>
          <w:szCs w:val="28"/>
        </w:rPr>
      </w:pPr>
      <w:r w:rsidDel="00000000" w:rsidR="00000000" w:rsidRPr="00000000">
        <w:rPr>
          <w:rtl w:val="0"/>
        </w:rPr>
      </w:r>
    </w:p>
    <w:p w:rsidR="00000000" w:rsidDel="00000000" w:rsidP="00000000" w:rsidRDefault="00000000" w:rsidRPr="00000000" w14:paraId="00000084">
      <w:pPr>
        <w:numPr>
          <w:ilvl w:val="0"/>
          <w:numId w:val="7"/>
        </w:numPr>
        <w:ind w:left="720" w:hanging="360"/>
        <w:rPr>
          <w:sz w:val="28"/>
          <w:szCs w:val="28"/>
        </w:rPr>
      </w:pPr>
      <w:r w:rsidDel="00000000" w:rsidR="00000000" w:rsidRPr="00000000">
        <w:rPr>
          <w:sz w:val="28"/>
          <w:szCs w:val="28"/>
          <w:rtl w:val="0"/>
        </w:rPr>
        <w:t xml:space="preserve">Multifamily MBS prepayment/default data</w:t>
      </w:r>
    </w:p>
    <w:p w:rsidR="00000000" w:rsidDel="00000000" w:rsidP="00000000" w:rsidRDefault="00000000" w:rsidRPr="00000000" w14:paraId="00000085">
      <w:pPr>
        <w:numPr>
          <w:ilvl w:val="0"/>
          <w:numId w:val="7"/>
        </w:numPr>
        <w:ind w:left="720" w:hanging="360"/>
        <w:rPr>
          <w:sz w:val="28"/>
          <w:szCs w:val="28"/>
        </w:rPr>
      </w:pPr>
      <w:r w:rsidDel="00000000" w:rsidR="00000000" w:rsidRPr="00000000">
        <w:rPr>
          <w:sz w:val="28"/>
          <w:szCs w:val="28"/>
          <w:rtl w:val="0"/>
        </w:rPr>
        <w:t xml:space="preserve">Project Loan Prepayments</w:t>
      </w:r>
    </w:p>
    <w:p w:rsidR="00000000" w:rsidDel="00000000" w:rsidP="00000000" w:rsidRDefault="00000000" w:rsidRPr="00000000" w14:paraId="00000086">
      <w:pPr>
        <w:numPr>
          <w:ilvl w:val="1"/>
          <w:numId w:val="7"/>
        </w:numPr>
        <w:ind w:left="1440" w:hanging="360"/>
        <w:rPr>
          <w:sz w:val="28"/>
          <w:szCs w:val="28"/>
          <w:u w:val="none"/>
        </w:rPr>
      </w:pPr>
      <w:r w:rsidDel="00000000" w:rsidR="00000000" w:rsidRPr="00000000">
        <w:rPr>
          <w:sz w:val="28"/>
          <w:szCs w:val="28"/>
          <w:rtl w:val="0"/>
        </w:rPr>
        <w:t xml:space="preserve">Defaults</w:t>
      </w:r>
    </w:p>
    <w:p w:rsidR="00000000" w:rsidDel="00000000" w:rsidP="00000000" w:rsidRDefault="00000000" w:rsidRPr="00000000" w14:paraId="00000087">
      <w:pPr>
        <w:numPr>
          <w:ilvl w:val="1"/>
          <w:numId w:val="7"/>
        </w:numPr>
        <w:ind w:left="1440" w:hanging="360"/>
        <w:rPr>
          <w:sz w:val="28"/>
          <w:szCs w:val="28"/>
          <w:u w:val="none"/>
        </w:rPr>
      </w:pPr>
      <w:r w:rsidDel="00000000" w:rsidR="00000000" w:rsidRPr="00000000">
        <w:rPr>
          <w:sz w:val="28"/>
          <w:szCs w:val="28"/>
          <w:rtl w:val="0"/>
        </w:rPr>
        <w:t xml:space="preserve">Refinancing</w:t>
      </w:r>
    </w:p>
    <w:p w:rsidR="00000000" w:rsidDel="00000000" w:rsidP="00000000" w:rsidRDefault="00000000" w:rsidRPr="00000000" w14:paraId="00000088">
      <w:pPr>
        <w:numPr>
          <w:ilvl w:val="0"/>
          <w:numId w:val="7"/>
        </w:numPr>
        <w:ind w:left="720" w:hanging="360"/>
        <w:rPr>
          <w:sz w:val="28"/>
          <w:szCs w:val="28"/>
          <w:u w:val="none"/>
        </w:rPr>
      </w:pPr>
      <w:r w:rsidDel="00000000" w:rsidR="00000000" w:rsidRPr="00000000">
        <w:rPr>
          <w:sz w:val="28"/>
          <w:szCs w:val="28"/>
          <w:rtl w:val="0"/>
        </w:rPr>
        <w:t xml:space="preserve">Construction Loans</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b w:val="1"/>
          <w:sz w:val="28"/>
          <w:szCs w:val="28"/>
        </w:rPr>
      </w:pPr>
      <w:r w:rsidDel="00000000" w:rsidR="00000000" w:rsidRPr="00000000">
        <w:rPr>
          <w:b w:val="1"/>
          <w:sz w:val="28"/>
          <w:szCs w:val="28"/>
          <w:rtl w:val="0"/>
        </w:rPr>
        <w:t xml:space="preserve">Ginnie Mae Multifamily MBS Valuation</w:t>
      </w:r>
    </w:p>
    <w:p w:rsidR="00000000" w:rsidDel="00000000" w:rsidP="00000000" w:rsidRDefault="00000000" w:rsidRPr="00000000" w14:paraId="0000008B">
      <w:pPr>
        <w:rPr>
          <w:b w:val="1"/>
          <w:sz w:val="28"/>
          <w:szCs w:val="28"/>
        </w:rPr>
      </w:pPr>
      <w:r w:rsidDel="00000000" w:rsidR="00000000" w:rsidRPr="00000000">
        <w:rPr>
          <w:rtl w:val="0"/>
        </w:rPr>
      </w:r>
    </w:p>
    <w:p w:rsidR="00000000" w:rsidDel="00000000" w:rsidP="00000000" w:rsidRDefault="00000000" w:rsidRPr="00000000" w14:paraId="0000008C">
      <w:pPr>
        <w:numPr>
          <w:ilvl w:val="0"/>
          <w:numId w:val="1"/>
        </w:numPr>
        <w:ind w:left="720" w:hanging="360"/>
        <w:rPr>
          <w:sz w:val="28"/>
          <w:szCs w:val="28"/>
        </w:rPr>
      </w:pPr>
      <w:r w:rsidDel="00000000" w:rsidR="00000000" w:rsidRPr="00000000">
        <w:rPr>
          <w:sz w:val="28"/>
          <w:szCs w:val="28"/>
          <w:rtl w:val="0"/>
        </w:rPr>
        <w:t xml:space="preserve">Handling idiosyncratic risk through pool/loan-level modeling, path-level simulation of prepayment rates for each loan, prepayment overrides for individual loans/pools.</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b w:val="1"/>
          <w:sz w:val="28"/>
          <w:szCs w:val="28"/>
        </w:rPr>
      </w:pPr>
      <w:r w:rsidDel="00000000" w:rsidR="00000000" w:rsidRPr="00000000">
        <w:rPr>
          <w:b w:val="1"/>
          <w:sz w:val="28"/>
          <w:szCs w:val="28"/>
          <w:rtl w:val="0"/>
        </w:rPr>
        <w:t xml:space="preserve">Ginnie Mae Multifamily MBS RV Considerations</w:t>
      </w:r>
    </w:p>
    <w:p w:rsidR="00000000" w:rsidDel="00000000" w:rsidP="00000000" w:rsidRDefault="00000000" w:rsidRPr="00000000" w14:paraId="0000008F">
      <w:pPr>
        <w:numPr>
          <w:ilvl w:val="0"/>
          <w:numId w:val="6"/>
        </w:numPr>
        <w:ind w:left="720" w:hanging="360"/>
        <w:rPr>
          <w:sz w:val="28"/>
          <w:szCs w:val="28"/>
        </w:rPr>
      </w:pPr>
      <w:r w:rsidDel="00000000" w:rsidR="00000000" w:rsidRPr="00000000">
        <w:rPr>
          <w:sz w:val="28"/>
          <w:szCs w:val="28"/>
          <w:rtl w:val="0"/>
        </w:rPr>
        <w:t xml:space="preserve">Market OAS</w:t>
      </w:r>
    </w:p>
    <w:p w:rsidR="00000000" w:rsidDel="00000000" w:rsidP="00000000" w:rsidRDefault="00000000" w:rsidRPr="00000000" w14:paraId="00000090">
      <w:pPr>
        <w:numPr>
          <w:ilvl w:val="0"/>
          <w:numId w:val="6"/>
        </w:numPr>
        <w:ind w:left="720" w:hanging="360"/>
        <w:rPr>
          <w:sz w:val="28"/>
          <w:szCs w:val="28"/>
          <w:u w:val="none"/>
        </w:rPr>
      </w:pPr>
      <w:r w:rsidDel="00000000" w:rsidR="00000000" w:rsidRPr="00000000">
        <w:rPr>
          <w:sz w:val="28"/>
          <w:szCs w:val="28"/>
          <w:rtl w:val="0"/>
        </w:rPr>
        <w:t xml:space="preserve">Liquidity considerations: Investor Base, Broker-dealer sponsorship, Hedging strategies</w:t>
      </w:r>
    </w:p>
    <w:p w:rsidR="00000000" w:rsidDel="00000000" w:rsidP="00000000" w:rsidRDefault="00000000" w:rsidRPr="00000000" w14:paraId="00000091">
      <w:pPr>
        <w:numPr>
          <w:ilvl w:val="0"/>
          <w:numId w:val="6"/>
        </w:numPr>
        <w:ind w:left="720" w:hanging="360"/>
        <w:rPr>
          <w:sz w:val="28"/>
          <w:szCs w:val="28"/>
          <w:u w:val="none"/>
        </w:rPr>
      </w:pPr>
      <w:r w:rsidDel="00000000" w:rsidR="00000000" w:rsidRPr="00000000">
        <w:rPr>
          <w:sz w:val="28"/>
          <w:szCs w:val="28"/>
          <w:rtl w:val="0"/>
        </w:rPr>
        <w:t xml:space="preserve">New issue versus secondary</w:t>
      </w:r>
    </w:p>
    <w:p w:rsidR="00000000" w:rsidDel="00000000" w:rsidP="00000000" w:rsidRDefault="00000000" w:rsidRPr="00000000" w14:paraId="00000092">
      <w:pPr>
        <w:numPr>
          <w:ilvl w:val="0"/>
          <w:numId w:val="6"/>
        </w:numPr>
        <w:ind w:left="720" w:hanging="360"/>
        <w:rPr>
          <w:sz w:val="28"/>
          <w:szCs w:val="28"/>
          <w:u w:val="none"/>
        </w:rPr>
      </w:pPr>
      <w:r w:rsidDel="00000000" w:rsidR="00000000" w:rsidRPr="00000000">
        <w:rPr>
          <w:sz w:val="28"/>
          <w:szCs w:val="28"/>
          <w:rtl w:val="0"/>
        </w:rPr>
        <w:t xml:space="preserve">Issuer-level underwriting considerations</w:t>
      </w:r>
    </w:p>
    <w:p w:rsidR="00000000" w:rsidDel="00000000" w:rsidP="00000000" w:rsidRDefault="00000000" w:rsidRPr="00000000" w14:paraId="00000093">
      <w:pPr>
        <w:numPr>
          <w:ilvl w:val="0"/>
          <w:numId w:val="6"/>
        </w:numPr>
        <w:ind w:left="720" w:hanging="360"/>
        <w:rPr>
          <w:sz w:val="28"/>
          <w:szCs w:val="28"/>
          <w:u w:val="none"/>
        </w:rPr>
      </w:pPr>
      <w:r w:rsidDel="00000000" w:rsidR="00000000" w:rsidRPr="00000000">
        <w:rPr>
          <w:sz w:val="28"/>
          <w:szCs w:val="28"/>
          <w:rtl w:val="0"/>
        </w:rPr>
        <w:t xml:space="preserve">Policy risk</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rPr>
          <w:b w:val="1"/>
          <w:sz w:val="28"/>
          <w:szCs w:val="28"/>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Prior to this, it was also possible to pool project loans into FHA pools known as FHA Participation Certificates.</w:t>
      </w:r>
    </w:p>
  </w:footnote>
  <w:footnote w:id="1">
    <w:p w:rsidR="00000000" w:rsidDel="00000000" w:rsidP="00000000" w:rsidRDefault="00000000" w:rsidRPr="00000000" w14:paraId="000000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Between 1995 and 2000, Ginnie Mae project loans were pooled and securitized under the Fannie Mae multifamily REMIC shelf.</w:t>
      </w:r>
    </w:p>
  </w:footnote>
  <w:footnote w:id="2">
    <w:p w:rsidR="00000000" w:rsidDel="00000000" w:rsidP="00000000" w:rsidRDefault="00000000" w:rsidRPr="00000000" w14:paraId="000000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Approximately 85% of the project loans issued in 2009 and 2010 ended up in Ginnie Mae REMICs. Roughly half of the project loans not pooled in REMICs consisted of Section 242 Acute Care Hospital project loans.</w:t>
      </w:r>
    </w:p>
  </w:footnote>
  <w:footnote w:id="3">
    <w:p w:rsidR="00000000" w:rsidDel="00000000" w:rsidP="00000000" w:rsidRDefault="00000000" w:rsidRPr="00000000" w14:paraId="0000009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Pro-forma underwriting is the practice of basing future property cash flows on estimates rather than historical income streams. These estimates are often significantly higher than 12-month trailing historical performance numbers. Pro-forma loans in CMBS also correspond to situations where historical NOIs are not provided.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