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LIHTC Model</w:t>
      </w:r>
    </w:p>
    <w:p w:rsidR="00000000" w:rsidDel="00000000" w:rsidP="00000000" w:rsidRDefault="00000000" w:rsidRPr="00000000" w14:paraId="00000002">
      <w:pPr>
        <w:jc w:val="center"/>
        <w:rPr>
          <w:b w:val="1"/>
          <w:sz w:val="28"/>
          <w:szCs w:val="28"/>
        </w:rPr>
      </w:pPr>
      <w:r w:rsidDel="00000000" w:rsidR="00000000" w:rsidRPr="00000000">
        <w:rPr>
          <w:rtl w:val="0"/>
        </w:rPr>
      </w:r>
    </w:p>
    <w:p w:rsidR="00000000" w:rsidDel="00000000" w:rsidP="00000000" w:rsidRDefault="00000000" w:rsidRPr="00000000" w14:paraId="00000003">
      <w:pPr>
        <w:rPr>
          <w:b w:val="1"/>
          <w:sz w:val="28"/>
          <w:szCs w:val="28"/>
        </w:rPr>
      </w:pPr>
      <w:r w:rsidDel="00000000" w:rsidR="00000000" w:rsidRPr="00000000">
        <w:rPr>
          <w:b w:val="1"/>
          <w:sz w:val="28"/>
          <w:szCs w:val="28"/>
          <w:rtl w:val="0"/>
        </w:rPr>
        <w:t xml:space="preserve">Data:</w:t>
      </w:r>
    </w:p>
    <w:p w:rsidR="00000000" w:rsidDel="00000000" w:rsidP="00000000" w:rsidRDefault="00000000" w:rsidRPr="00000000" w14:paraId="00000004">
      <w:pPr>
        <w:rPr>
          <w:b w:val="1"/>
          <w:sz w:val="28"/>
          <w:szCs w:val="28"/>
        </w:rPr>
      </w:pPr>
      <w:r w:rsidDel="00000000" w:rsidR="00000000" w:rsidRPr="00000000">
        <w:rPr>
          <w:rtl w:val="0"/>
        </w:rPr>
      </w:r>
    </w:p>
    <w:p w:rsidR="00000000" w:rsidDel="00000000" w:rsidP="00000000" w:rsidRDefault="00000000" w:rsidRPr="00000000" w14:paraId="00000005">
      <w:pPr>
        <w:rPr>
          <w:b w:val="1"/>
          <w:i w:val="1"/>
        </w:rPr>
      </w:pPr>
      <w:r w:rsidDel="00000000" w:rsidR="00000000" w:rsidRPr="00000000">
        <w:rPr>
          <w:b w:val="1"/>
          <w:i w:val="1"/>
          <w:rtl w:val="0"/>
        </w:rPr>
        <w:t xml:space="preserve">Source:</w:t>
      </w:r>
    </w:p>
    <w:p w:rsidR="00000000" w:rsidDel="00000000" w:rsidP="00000000" w:rsidRDefault="00000000" w:rsidRPr="00000000" w14:paraId="00000006">
      <w:pPr>
        <w:numPr>
          <w:ilvl w:val="0"/>
          <w:numId w:val="7"/>
        </w:numPr>
        <w:ind w:left="720" w:hanging="360"/>
        <w:rPr/>
      </w:pPr>
      <w:r w:rsidDel="00000000" w:rsidR="00000000" w:rsidRPr="00000000">
        <w:rPr>
          <w:highlight w:val="white"/>
          <w:rtl w:val="0"/>
        </w:rPr>
        <w:t xml:space="preserve">INSURED MULTIFAMILY MORTGAGES DATABASE: </w:t>
      </w:r>
      <w:r w:rsidDel="00000000" w:rsidR="00000000" w:rsidRPr="00000000">
        <w:rPr>
          <w:rtl w:val="0"/>
        </w:rPr>
        <w:t xml:space="preserve">The data source we use to label the LIHTC status of the GPL loans (</w:t>
      </w:r>
      <w:hyperlink r:id="rId8">
        <w:r w:rsidDel="00000000" w:rsidR="00000000" w:rsidRPr="00000000">
          <w:rPr>
            <w:color w:val="1155cc"/>
            <w:u w:val="single"/>
            <w:rtl w:val="0"/>
          </w:rPr>
          <w:t xml:space="preserve">https://www.hud.gov/program_offices/housing/comp/rpts/mfh/mf_f47/</w:t>
        </w:r>
      </w:hyperlink>
      <w:r w:rsidDel="00000000" w:rsidR="00000000" w:rsidRPr="00000000">
        <w:rPr>
          <w:rtl w:val="0"/>
        </w:rPr>
        <w:t xml:space="preserve">). This data source:</w:t>
      </w:r>
    </w:p>
    <w:p w:rsidR="00000000" w:rsidDel="00000000" w:rsidP="00000000" w:rsidRDefault="00000000" w:rsidRPr="00000000" w14:paraId="00000007">
      <w:pPr>
        <w:numPr>
          <w:ilvl w:val="1"/>
          <w:numId w:val="7"/>
        </w:numPr>
        <w:ind w:left="1440" w:hanging="360"/>
        <w:rPr>
          <w:u w:val="none"/>
        </w:rPr>
      </w:pPr>
      <w:r w:rsidDel="00000000" w:rsidR="00000000" w:rsidRPr="00000000">
        <w:rPr>
          <w:rtl w:val="0"/>
        </w:rPr>
        <w:t xml:space="preserve">Identifies the status of “receiving Tax Credit” and “using Tax-Exempt Bond” of each GPL loan based on FHA Number / Pool Number</w:t>
      </w:r>
    </w:p>
    <w:p w:rsidR="00000000" w:rsidDel="00000000" w:rsidP="00000000" w:rsidRDefault="00000000" w:rsidRPr="00000000" w14:paraId="00000008">
      <w:pPr>
        <w:numPr>
          <w:ilvl w:val="1"/>
          <w:numId w:val="7"/>
        </w:numPr>
        <w:ind w:left="1440" w:hanging="360"/>
        <w:rPr>
          <w:u w:val="none"/>
        </w:rPr>
      </w:pPr>
      <w:r w:rsidDel="00000000" w:rsidR="00000000" w:rsidRPr="00000000">
        <w:rPr>
          <w:rtl w:val="0"/>
        </w:rPr>
        <w:t xml:space="preserve">The table updates monthly with the latest status of the loans</w:t>
      </w:r>
    </w:p>
    <w:p w:rsidR="00000000" w:rsidDel="00000000" w:rsidP="00000000" w:rsidRDefault="00000000" w:rsidRPr="00000000" w14:paraId="00000009">
      <w:pPr>
        <w:numPr>
          <w:ilvl w:val="1"/>
          <w:numId w:val="7"/>
        </w:numPr>
        <w:ind w:left="1440" w:hanging="360"/>
        <w:rPr>
          <w:u w:val="none"/>
        </w:rPr>
      </w:pPr>
      <w:r w:rsidDel="00000000" w:rsidR="00000000" w:rsidRPr="00000000">
        <w:rPr>
          <w:rtl w:val="0"/>
        </w:rPr>
        <w:t xml:space="preserve">We keep records of all historical updates in our database</w:t>
      </w:r>
    </w:p>
    <w:p w:rsidR="00000000" w:rsidDel="00000000" w:rsidP="00000000" w:rsidRDefault="00000000" w:rsidRPr="00000000" w14:paraId="0000000A">
      <w:pPr>
        <w:numPr>
          <w:ilvl w:val="0"/>
          <w:numId w:val="7"/>
        </w:numPr>
        <w:ind w:left="720" w:hanging="360"/>
        <w:rPr>
          <w:u w:val="none"/>
        </w:rPr>
      </w:pPr>
      <w:r w:rsidDel="00000000" w:rsidR="00000000" w:rsidRPr="00000000">
        <w:rPr>
          <w:rtl w:val="0"/>
        </w:rPr>
        <w:t xml:space="preserve">LIHTC Database: A secondary data source for additional information about the LIHTC properties (</w:t>
      </w:r>
      <w:hyperlink r:id="rId9">
        <w:r w:rsidDel="00000000" w:rsidR="00000000" w:rsidRPr="00000000">
          <w:rPr>
            <w:color w:val="1155cc"/>
            <w:u w:val="single"/>
            <w:rtl w:val="0"/>
          </w:rPr>
          <w:t xml:space="preserve">https://www.huduser.gov/portal/datasets/lihtc.html</w:t>
        </w:r>
      </w:hyperlink>
      <w:r w:rsidDel="00000000" w:rsidR="00000000" w:rsidRPr="00000000">
        <w:rPr>
          <w:rtl w:val="0"/>
        </w:rPr>
        <w:t xml:space="preserve">). This data source:</w:t>
      </w:r>
    </w:p>
    <w:p w:rsidR="00000000" w:rsidDel="00000000" w:rsidP="00000000" w:rsidRDefault="00000000" w:rsidRPr="00000000" w14:paraId="0000000B">
      <w:pPr>
        <w:numPr>
          <w:ilvl w:val="1"/>
          <w:numId w:val="7"/>
        </w:numPr>
        <w:ind w:left="1440" w:hanging="360"/>
        <w:rPr>
          <w:u w:val="none"/>
        </w:rPr>
      </w:pPr>
      <w:r w:rsidDel="00000000" w:rsidR="00000000" w:rsidRPr="00000000">
        <w:rPr>
          <w:rtl w:val="0"/>
        </w:rPr>
        <w:t xml:space="preserve">Provides detailed information, including “LIHTC allocation year (alloc)”, “placed in service (pis) year”, “for-profit/non-profit flag”, which are useful dimensions for understanding the LIHTC loans’ prepay behaviors.</w:t>
      </w:r>
    </w:p>
    <w:p w:rsidR="00000000" w:rsidDel="00000000" w:rsidP="00000000" w:rsidRDefault="00000000" w:rsidRPr="00000000" w14:paraId="0000000C">
      <w:pPr>
        <w:numPr>
          <w:ilvl w:val="1"/>
          <w:numId w:val="7"/>
        </w:numPr>
        <w:ind w:left="1440" w:hanging="360"/>
        <w:rPr>
          <w:u w:val="none"/>
        </w:rPr>
      </w:pPr>
      <w:r w:rsidDel="00000000" w:rsidR="00000000" w:rsidRPr="00000000">
        <w:rPr>
          <w:rtl w:val="0"/>
        </w:rPr>
        <w:t xml:space="preserve">Is property-based and doesn’t have any loan ID (FHA number or Pool number). Therefore, to match the records with our GPL loan table, we have to use the property name and geo information (with proper data cleaning) with approximation.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i w:val="1"/>
        </w:rPr>
      </w:pPr>
      <w:r w:rsidDel="00000000" w:rsidR="00000000" w:rsidRPr="00000000">
        <w:rPr>
          <w:b w:val="1"/>
          <w:i w:val="1"/>
          <w:rtl w:val="0"/>
        </w:rPr>
        <w:t xml:space="preserve">Size:</w:t>
      </w:r>
    </w:p>
    <w:p w:rsidR="00000000" w:rsidDel="00000000" w:rsidP="00000000" w:rsidRDefault="00000000" w:rsidRPr="00000000" w14:paraId="0000000F">
      <w:pPr>
        <w:numPr>
          <w:ilvl w:val="0"/>
          <w:numId w:val="4"/>
        </w:numPr>
        <w:ind w:left="720" w:hanging="360"/>
        <w:rPr/>
      </w:pPr>
      <w:r w:rsidDel="00000000" w:rsidR="00000000" w:rsidRPr="00000000">
        <w:rPr>
          <w:rtl w:val="0"/>
        </w:rPr>
        <w:t xml:space="preserve">Assumption: We use all “non-CL, in-deal” pool prepay information since 2014-03 for modeling</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Magnitude: Each level is a subset of the previous</w:t>
      </w:r>
    </w:p>
    <w:tbl>
      <w:tblPr>
        <w:tblStyle w:val="Table1"/>
        <w:tblW w:w="8775.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1335"/>
        <w:gridCol w:w="1230"/>
        <w:gridCol w:w="1815"/>
        <w:gridCol w:w="2145"/>
        <w:tblGridChange w:id="0">
          <w:tblGrid>
            <w:gridCol w:w="2250"/>
            <w:gridCol w:w="1335"/>
            <w:gridCol w:w="1230"/>
            <w:gridCol w:w="1815"/>
            <w:gridCol w:w="214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Dataset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Loans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Data Points (k)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Total Balance ($bn)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All GPL </w:t>
              <w:br w:type="textWrapping"/>
              <w:t xml:space="preserve">(non-CL, in-deal)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20"/>
                <w:szCs w:val="20"/>
              </w:rPr>
            </w:pPr>
            <w:r w:rsidDel="00000000" w:rsidR="00000000" w:rsidRPr="00000000">
              <w:rPr>
                <w:sz w:val="20"/>
                <w:szCs w:val="20"/>
                <w:rtl w:val="0"/>
              </w:rPr>
              <w:t xml:space="preserve">682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0"/>
                <w:szCs w:val="20"/>
              </w:rPr>
            </w:pPr>
            <w:r w:rsidDel="00000000" w:rsidR="00000000" w:rsidRPr="00000000">
              <w:rPr>
                <w:sz w:val="20"/>
                <w:szCs w:val="20"/>
                <w:rtl w:val="0"/>
              </w:rPr>
              <w:t xml:space="preserve">5,000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Within Dataset #1, Loans with TC/TE * labeling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1,748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0"/>
                <w:szCs w:val="20"/>
              </w:rPr>
            </w:pPr>
            <w:r w:rsidDel="00000000" w:rsidR="00000000" w:rsidRPr="00000000">
              <w:rPr>
                <w:sz w:val="20"/>
                <w:szCs w:val="20"/>
                <w:rtl w:val="0"/>
              </w:rPr>
              <w:t xml:space="preserve">440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sz w:val="20"/>
                <w:szCs w:val="20"/>
                <w:rtl w:val="0"/>
              </w:rPr>
              <w:t xml:space="preserve">Within Dataset #2, </w:t>
            </w:r>
            <w:r w:rsidDel="00000000" w:rsidR="00000000" w:rsidRPr="00000000">
              <w:rPr>
                <w:b w:val="1"/>
                <w:sz w:val="20"/>
                <w:szCs w:val="20"/>
                <w:rtl w:val="0"/>
              </w:rPr>
              <w:t xml:space="preserve">Loans with LIHTC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1,699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sz w:val="20"/>
                <w:szCs w:val="20"/>
              </w:rPr>
            </w:pPr>
            <w:r w:rsidDel="00000000" w:rsidR="00000000" w:rsidRPr="00000000">
              <w:rPr>
                <w:b w:val="1"/>
                <w:sz w:val="20"/>
                <w:szCs w:val="20"/>
                <w:rtl w:val="0"/>
              </w:rPr>
              <w:t xml:space="preserve">416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Within Dataset #3, Loans with Valid “PIS / alloc 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0"/>
                <w:szCs w:val="20"/>
              </w:rPr>
            </w:pPr>
            <w:r w:rsidDel="00000000" w:rsidR="00000000" w:rsidRPr="00000000">
              <w:rPr>
                <w:sz w:val="20"/>
                <w:szCs w:val="20"/>
                <w:rtl w:val="0"/>
              </w:rPr>
              <w:t xml:space="preserve">243</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Within Dataset #4, Non-Profit LIHTC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0"/>
                <w:szCs w:val="20"/>
              </w:rPr>
            </w:pPr>
            <w:r w:rsidDel="00000000" w:rsidR="00000000" w:rsidRPr="00000000">
              <w:rPr>
                <w:sz w:val="20"/>
                <w:szCs w:val="20"/>
                <w:rtl w:val="0"/>
              </w:rPr>
              <w:t xml:space="preserve">30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20"/>
                <w:szCs w:val="20"/>
              </w:rPr>
            </w:pPr>
            <w:r w:rsidDel="00000000" w:rsidR="00000000" w:rsidRPr="00000000">
              <w:rPr>
                <w:sz w:val="20"/>
                <w:szCs w:val="20"/>
                <w:rtl w:val="0"/>
              </w:rPr>
              <w:t xml:space="preserve">Within Dataset #4, For-Profit LIHTC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0"/>
                <w:szCs w:val="20"/>
              </w:rPr>
            </w:pPr>
            <w:r w:rsidDel="00000000" w:rsidR="00000000" w:rsidRPr="00000000">
              <w:rPr>
                <w:sz w:val="20"/>
                <w:szCs w:val="20"/>
                <w:rtl w:val="0"/>
              </w:rPr>
              <w:t xml:space="preserve">181</w:t>
            </w:r>
          </w:p>
        </w:tc>
      </w:tr>
    </w:tbl>
    <w:p w:rsidR="00000000" w:rsidDel="00000000" w:rsidP="00000000" w:rsidRDefault="00000000" w:rsidRPr="00000000" w14:paraId="00000034">
      <w:pPr>
        <w:ind w:left="720" w:firstLine="0"/>
        <w:rPr>
          <w:i w:val="1"/>
          <w:sz w:val="18"/>
          <w:szCs w:val="18"/>
        </w:rPr>
      </w:pPr>
      <w:r w:rsidDel="00000000" w:rsidR="00000000" w:rsidRPr="00000000">
        <w:rPr>
          <w:i w:val="1"/>
          <w:sz w:val="18"/>
          <w:szCs w:val="18"/>
          <w:rtl w:val="0"/>
        </w:rPr>
        <w:t xml:space="preserve">* TE means if a property is receiving tax-exempt bond as funding. This is different from Tax-Credit (TC). TE status, however, can be used in conjunction with TC status to tell the type of credit percentage: A property with both TC &amp; TE receives 4% LIHTC, whereas a property with TC only receives 9% LIHTC.</w:t>
      </w:r>
    </w:p>
    <w:p w:rsidR="00000000" w:rsidDel="00000000" w:rsidP="00000000" w:rsidRDefault="00000000" w:rsidRPr="00000000" w14:paraId="00000035">
      <w:pPr>
        <w:ind w:left="720" w:firstLine="0"/>
        <w:rPr>
          <w:i w:val="1"/>
          <w:sz w:val="18"/>
          <w:szCs w:val="18"/>
        </w:rPr>
      </w:pPr>
      <w:r w:rsidDel="00000000" w:rsidR="00000000" w:rsidRPr="00000000">
        <w:rPr>
          <w:i w:val="1"/>
          <w:sz w:val="18"/>
          <w:szCs w:val="18"/>
          <w:rtl w:val="0"/>
        </w:rPr>
        <w:t xml:space="preserve">** Based on current property matching algorithm. The number of data points may potentially improve if we further refine the algorithm</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sz w:val="28"/>
          <w:szCs w:val="28"/>
        </w:rPr>
      </w:pPr>
      <w:r w:rsidDel="00000000" w:rsidR="00000000" w:rsidRPr="00000000">
        <w:rPr>
          <w:b w:val="1"/>
          <w:i w:val="1"/>
          <w:rtl w:val="0"/>
        </w:rPr>
        <w:t xml:space="preserve">Quality:</w:t>
      </w:r>
      <w:r w:rsidDel="00000000" w:rsidR="00000000" w:rsidRPr="00000000">
        <w:rPr>
          <w:rtl w:val="0"/>
        </w:rPr>
      </w:r>
    </w:p>
    <w:p w:rsidR="00000000" w:rsidDel="00000000" w:rsidP="00000000" w:rsidRDefault="00000000" w:rsidRPr="00000000" w14:paraId="00000038">
      <w:pPr>
        <w:numPr>
          <w:ilvl w:val="0"/>
          <w:numId w:val="1"/>
        </w:numPr>
        <w:ind w:left="720" w:hanging="360"/>
        <w:rPr>
          <w:b w:val="1"/>
          <w:sz w:val="28"/>
          <w:szCs w:val="28"/>
        </w:rPr>
      </w:pPr>
      <w:r w:rsidDel="00000000" w:rsidR="00000000" w:rsidRPr="00000000">
        <w:rPr>
          <w:highlight w:val="white"/>
          <w:rtl w:val="0"/>
        </w:rPr>
        <w:t xml:space="preserve">INSURED MULTIFAMILY MORTGAGES DATABASE (</w:t>
      </w:r>
      <w:r w:rsidDel="00000000" w:rsidR="00000000" w:rsidRPr="00000000">
        <w:rPr>
          <w:b w:val="1"/>
          <w:highlight w:val="white"/>
          <w:rtl w:val="0"/>
        </w:rPr>
        <w:t xml:space="preserve">IMMD</w:t>
      </w:r>
      <w:r w:rsidDel="00000000" w:rsidR="00000000" w:rsidRPr="00000000">
        <w:rPr>
          <w:highlight w:val="white"/>
          <w:rtl w:val="0"/>
        </w:rPr>
        <w:t xml:space="preserve">):</w:t>
      </w:r>
    </w:p>
    <w:p w:rsidR="00000000" w:rsidDel="00000000" w:rsidP="00000000" w:rsidRDefault="00000000" w:rsidRPr="00000000" w14:paraId="00000039">
      <w:pPr>
        <w:numPr>
          <w:ilvl w:val="1"/>
          <w:numId w:val="1"/>
        </w:numPr>
        <w:ind w:left="1440" w:hanging="360"/>
        <w:rPr>
          <w:highlight w:val="white"/>
          <w:u w:val="none"/>
        </w:rPr>
      </w:pPr>
      <w:r w:rsidDel="00000000" w:rsidR="00000000" w:rsidRPr="00000000">
        <w:rPr>
          <w:highlight w:val="white"/>
          <w:rtl w:val="0"/>
        </w:rPr>
        <w:t xml:space="preserve">Certain historical loads are bad </w:t>
      </w:r>
      <w:r w:rsidDel="00000000" w:rsidR="00000000" w:rsidRPr="00000000">
        <w:rPr>
          <w:i w:val="1"/>
          <w:sz w:val="20"/>
          <w:szCs w:val="20"/>
          <w:highlight w:val="white"/>
          <w:rtl w:val="0"/>
        </w:rPr>
        <w:t xml:space="preserve">(1/10/2018, 11/15/2018, 1/7/2019)</w:t>
      </w:r>
      <w:r w:rsidDel="00000000" w:rsidR="00000000" w:rsidRPr="00000000">
        <w:rPr>
          <w:sz w:val="20"/>
          <w:szCs w:val="20"/>
          <w:highlight w:val="white"/>
          <w:rtl w:val="0"/>
        </w:rPr>
        <w:t xml:space="preserve">. </w:t>
      </w:r>
      <w:r w:rsidDel="00000000" w:rsidR="00000000" w:rsidRPr="00000000">
        <w:rPr>
          <w:highlight w:val="white"/>
          <w:rtl w:val="0"/>
        </w:rPr>
        <w:t xml:space="preserve">Inconsistent results compared with datasets from adjacent loading dates. Therefore, we need a database check script to examine the magnitude of TC status change every month before we load in new data from HUD. </w:t>
      </w:r>
    </w:p>
    <w:p w:rsidR="00000000" w:rsidDel="00000000" w:rsidP="00000000" w:rsidRDefault="00000000" w:rsidRPr="00000000" w14:paraId="0000003A">
      <w:pPr>
        <w:numPr>
          <w:ilvl w:val="1"/>
          <w:numId w:val="1"/>
        </w:numPr>
        <w:ind w:left="1440" w:hanging="360"/>
        <w:rPr>
          <w:highlight w:val="white"/>
          <w:u w:val="none"/>
        </w:rPr>
      </w:pPr>
      <w:r w:rsidDel="00000000" w:rsidR="00000000" w:rsidRPr="00000000">
        <w:rPr>
          <w:rtl w:val="0"/>
        </w:rPr>
      </w:r>
    </w:p>
    <w:p w:rsidR="00000000" w:rsidDel="00000000" w:rsidP="00000000" w:rsidRDefault="00000000" w:rsidRPr="00000000" w14:paraId="0000003B">
      <w:pPr>
        <w:ind w:left="1440" w:firstLine="0"/>
        <w:rPr>
          <w:sz w:val="20"/>
          <w:szCs w:val="20"/>
          <w:highlight w:val="white"/>
        </w:rPr>
      </w:pPr>
      <w:r w:rsidDel="00000000" w:rsidR="00000000" w:rsidRPr="00000000">
        <w:rPr>
          <w:rtl w:val="0"/>
        </w:rPr>
      </w:r>
    </w:p>
    <w:p w:rsidR="00000000" w:rsidDel="00000000" w:rsidP="00000000" w:rsidRDefault="00000000" w:rsidRPr="00000000" w14:paraId="0000003C">
      <w:pPr>
        <w:numPr>
          <w:ilvl w:val="0"/>
          <w:numId w:val="1"/>
        </w:numPr>
        <w:ind w:left="720" w:hanging="360"/>
        <w:rPr>
          <w:b w:val="1"/>
          <w:sz w:val="28"/>
          <w:szCs w:val="28"/>
          <w:u w:val="none"/>
        </w:rPr>
      </w:pPr>
      <w:r w:rsidDel="00000000" w:rsidR="00000000" w:rsidRPr="00000000">
        <w:rPr>
          <w:rtl w:val="0"/>
        </w:rPr>
        <w:t xml:space="preserve">LIHTC database </w:t>
      </w:r>
      <w:r w:rsidDel="00000000" w:rsidR="00000000" w:rsidRPr="00000000">
        <w:rPr>
          <w:b w:val="1"/>
          <w:rtl w:val="0"/>
        </w:rPr>
        <w:t xml:space="preserve">(TC)</w:t>
      </w:r>
      <w:r w:rsidDel="00000000" w:rsidR="00000000" w:rsidRPr="00000000">
        <w:rPr>
          <w:rtl w:val="0"/>
        </w:rPr>
        <w:t xml:space="preserve">:</w:t>
      </w:r>
    </w:p>
    <w:p w:rsidR="00000000" w:rsidDel="00000000" w:rsidP="00000000" w:rsidRDefault="00000000" w:rsidRPr="00000000" w14:paraId="0000003D">
      <w:pPr>
        <w:numPr>
          <w:ilvl w:val="1"/>
          <w:numId w:val="1"/>
        </w:numPr>
        <w:ind w:left="1440" w:hanging="360"/>
        <w:rPr>
          <w:b w:val="1"/>
          <w:sz w:val="28"/>
          <w:szCs w:val="28"/>
          <w:u w:val="none"/>
        </w:rPr>
      </w:pPr>
      <w:r w:rsidDel="00000000" w:rsidR="00000000" w:rsidRPr="00000000">
        <w:rPr>
          <w:rtl w:val="0"/>
        </w:rPr>
        <w:t xml:space="preserve">Updates once a year, with a 1-3 year lag</w:t>
      </w:r>
    </w:p>
    <w:p w:rsidR="00000000" w:rsidDel="00000000" w:rsidP="00000000" w:rsidRDefault="00000000" w:rsidRPr="00000000" w14:paraId="0000003E">
      <w:pPr>
        <w:numPr>
          <w:ilvl w:val="1"/>
          <w:numId w:val="1"/>
        </w:numPr>
        <w:ind w:left="1440" w:hanging="360"/>
        <w:rPr>
          <w:b w:val="1"/>
          <w:sz w:val="28"/>
          <w:szCs w:val="28"/>
          <w:u w:val="none"/>
        </w:rPr>
      </w:pPr>
      <w:r w:rsidDel="00000000" w:rsidR="00000000" w:rsidRPr="00000000">
        <w:rPr>
          <w:rtl w:val="0"/>
        </w:rPr>
        <w:t xml:space="preserve">Latest update is Jun 2018</w:t>
      </w:r>
    </w:p>
    <w:p w:rsidR="00000000" w:rsidDel="00000000" w:rsidP="00000000" w:rsidRDefault="00000000" w:rsidRPr="00000000" w14:paraId="0000003F">
      <w:pPr>
        <w:numPr>
          <w:ilvl w:val="1"/>
          <w:numId w:val="1"/>
        </w:numPr>
        <w:ind w:left="1440" w:hanging="360"/>
        <w:rPr>
          <w:b w:val="1"/>
          <w:sz w:val="28"/>
          <w:szCs w:val="28"/>
          <w:u w:val="none"/>
        </w:rPr>
      </w:pPr>
      <w:r w:rsidDel="00000000" w:rsidR="00000000" w:rsidRPr="00000000">
        <w:rPr>
          <w:rtl w:val="0"/>
        </w:rPr>
        <w:t xml:space="preserve">Summary of missing data: </w:t>
      </w:r>
      <w:hyperlink r:id="rId10">
        <w:r w:rsidDel="00000000" w:rsidR="00000000" w:rsidRPr="00000000">
          <w:rPr>
            <w:color w:val="1155cc"/>
            <w:u w:val="single"/>
            <w:rtl w:val="0"/>
          </w:rPr>
          <w:t xml:space="preserve">https://lihtc.huduser.gov/missing.htm</w:t>
        </w:r>
      </w:hyperlink>
      <w:r w:rsidDel="00000000" w:rsidR="00000000" w:rsidRPr="00000000">
        <w:rPr>
          <w:rtl w:val="0"/>
        </w:rPr>
      </w:r>
    </w:p>
    <w:p w:rsidR="00000000" w:rsidDel="00000000" w:rsidP="00000000" w:rsidRDefault="00000000" w:rsidRPr="00000000" w14:paraId="00000040">
      <w:pPr>
        <w:numPr>
          <w:ilvl w:val="2"/>
          <w:numId w:val="1"/>
        </w:numPr>
        <w:ind w:left="2160" w:hanging="360"/>
        <w:rPr>
          <w:b w:val="1"/>
          <w:sz w:val="28"/>
          <w:szCs w:val="28"/>
          <w:u w:val="none"/>
        </w:rPr>
      </w:pPr>
      <w:r w:rsidDel="00000000" w:rsidR="00000000" w:rsidRPr="00000000">
        <w:rPr>
          <w:rtl w:val="0"/>
        </w:rPr>
        <w:t xml:space="preserve">Allocation Year: Historically around 2~3%, higher for recent records.</w:t>
      </w:r>
      <w:r w:rsidDel="00000000" w:rsidR="00000000" w:rsidRPr="00000000">
        <w:rPr>
          <w:rtl w:val="0"/>
        </w:rPr>
      </w:r>
    </w:p>
    <w:p w:rsidR="00000000" w:rsidDel="00000000" w:rsidP="00000000" w:rsidRDefault="00000000" w:rsidRPr="00000000" w14:paraId="00000041">
      <w:pPr>
        <w:numPr>
          <w:ilvl w:val="2"/>
          <w:numId w:val="1"/>
        </w:numPr>
        <w:ind w:left="2160" w:hanging="360"/>
        <w:rPr>
          <w:b w:val="1"/>
          <w:sz w:val="28"/>
          <w:szCs w:val="28"/>
          <w:u w:val="none"/>
        </w:rPr>
      </w:pPr>
      <w:r w:rsidDel="00000000" w:rsidR="00000000" w:rsidRPr="00000000">
        <w:rPr>
          <w:rtl w:val="0"/>
        </w:rPr>
        <w:t xml:space="preserve">Nonprofit Sponsorship: Around 10-20%.</w:t>
      </w:r>
      <w:r w:rsidDel="00000000" w:rsidR="00000000" w:rsidRPr="00000000">
        <w:rPr>
          <w:rtl w:val="0"/>
        </w:rPr>
      </w:r>
    </w:p>
    <w:p w:rsidR="00000000" w:rsidDel="00000000" w:rsidP="00000000" w:rsidRDefault="00000000" w:rsidRPr="00000000" w14:paraId="00000042">
      <w:pPr>
        <w:numPr>
          <w:ilvl w:val="2"/>
          <w:numId w:val="1"/>
        </w:numPr>
        <w:ind w:left="2160" w:hanging="360"/>
        <w:rPr>
          <w:b w:val="1"/>
          <w:sz w:val="28"/>
          <w:szCs w:val="28"/>
          <w:u w:val="none"/>
        </w:rPr>
      </w:pPr>
      <w:r w:rsidDel="00000000" w:rsidR="00000000" w:rsidRPr="00000000">
        <w:rPr>
          <w:rtl w:val="0"/>
        </w:rPr>
        <w:t xml:space="preserve">Property Address: Around 1% for recent records, &gt;5% prior to 1992.</w:t>
      </w:r>
    </w:p>
    <w:p w:rsidR="00000000" w:rsidDel="00000000" w:rsidP="00000000" w:rsidRDefault="00000000" w:rsidRPr="00000000" w14:paraId="00000043">
      <w:pPr>
        <w:ind w:left="1440" w:firstLine="0"/>
        <w:rPr/>
      </w:pPr>
      <w:r w:rsidDel="00000000" w:rsidR="00000000" w:rsidRPr="00000000">
        <w:rPr>
          <w:rtl w:val="0"/>
        </w:rPr>
      </w:r>
    </w:p>
    <w:p w:rsidR="00000000" w:rsidDel="00000000" w:rsidP="00000000" w:rsidRDefault="00000000" w:rsidRPr="00000000" w14:paraId="00000044">
      <w:pPr>
        <w:numPr>
          <w:ilvl w:val="0"/>
          <w:numId w:val="1"/>
        </w:numPr>
        <w:ind w:left="720" w:hanging="360"/>
        <w:rPr>
          <w:b w:val="1"/>
          <w:sz w:val="28"/>
          <w:szCs w:val="28"/>
          <w:u w:val="none"/>
        </w:rPr>
      </w:pPr>
      <w:r w:rsidDel="00000000" w:rsidR="00000000" w:rsidRPr="00000000">
        <w:rPr>
          <w:b w:val="1"/>
          <w:rtl w:val="0"/>
        </w:rPr>
        <w:t xml:space="preserve">Integrating </w:t>
      </w:r>
      <w:r w:rsidDel="00000000" w:rsidR="00000000" w:rsidRPr="00000000">
        <w:rPr>
          <w:b w:val="1"/>
          <w:highlight w:val="white"/>
          <w:rtl w:val="0"/>
        </w:rPr>
        <w:t xml:space="preserve">IMMD and TC</w:t>
      </w:r>
      <w:r w:rsidDel="00000000" w:rsidR="00000000" w:rsidRPr="00000000">
        <w:rPr>
          <w:rtl w:val="0"/>
        </w:rPr>
        <w:t xml:space="preserve">: </w:t>
      </w:r>
      <w:r w:rsidDel="00000000" w:rsidR="00000000" w:rsidRPr="00000000">
        <w:rPr>
          <w:i w:val="1"/>
          <w:rtl w:val="0"/>
        </w:rPr>
        <w:t xml:space="preserve">By definition, IMMD is a subset of the GPL Universe. In theory, loans from IMMD (issued prior to 2016) should be contained by TCD. With the current matching method, however, only a little more than half of the loans from IMMD has a match from the TCD. On the other hand, there are also loans matched in TCD but not found in IMMD. </w:t>
      </w:r>
      <w:r w:rsidDel="00000000" w:rsidR="00000000" w:rsidRPr="00000000">
        <w:rPr>
          <w:i w:val="1"/>
          <w:color w:val="a61c00"/>
          <w:rtl w:val="0"/>
        </w:rPr>
        <w:t xml:space="preserve">Hence, neither IMMD nor TCD has a complete labelling for LIHTC properties.</w:t>
      </w:r>
      <w:r w:rsidDel="00000000" w:rsidR="00000000" w:rsidRPr="00000000">
        <w:rPr>
          <w:i w:val="1"/>
          <w:rtl w:val="0"/>
        </w:rPr>
        <w:t xml:space="preserve"> For more accurate labelling and better model training, we need to combine the 2 datasets.</w:t>
      </w:r>
    </w:p>
    <w:p w:rsidR="00000000" w:rsidDel="00000000" w:rsidP="00000000" w:rsidRDefault="00000000" w:rsidRPr="00000000" w14:paraId="00000045">
      <w:pPr>
        <w:numPr>
          <w:ilvl w:val="1"/>
          <w:numId w:val="1"/>
        </w:numPr>
        <w:ind w:left="1440" w:hanging="360"/>
      </w:pPr>
      <w:r w:rsidDel="00000000" w:rsidR="00000000" w:rsidRPr="00000000">
        <w:rPr>
          <w:b w:val="1"/>
          <w:rtl w:val="0"/>
        </w:rPr>
        <w:t xml:space="preserve">Data Relationship Chart</w:t>
      </w:r>
      <w:r w:rsidDel="00000000" w:rsidR="00000000" w:rsidRPr="00000000">
        <w:rPr>
          <w:rtl w:val="0"/>
        </w:rPr>
        <w:t xml:space="preserve">: The data can be divided into 5 areas. The scope of this study is the combination of area “B”, “C”, &amp; “D”.</w:t>
      </w:r>
    </w:p>
    <w:p w:rsidR="00000000" w:rsidDel="00000000" w:rsidP="00000000" w:rsidRDefault="00000000" w:rsidRPr="00000000" w14:paraId="00000046">
      <w:pPr>
        <w:numPr>
          <w:ilvl w:val="2"/>
          <w:numId w:val="1"/>
        </w:numPr>
        <w:ind w:left="2160" w:hanging="360"/>
        <w:rPr>
          <w:u w:val="none"/>
        </w:rPr>
      </w:pPr>
      <w:r w:rsidDel="00000000" w:rsidR="00000000" w:rsidRPr="00000000">
        <w:rPr>
          <w:b w:val="1"/>
          <w:rtl w:val="0"/>
        </w:rPr>
        <w:t xml:space="preserve">Area A</w:t>
      </w:r>
      <w:r w:rsidDel="00000000" w:rsidR="00000000" w:rsidRPr="00000000">
        <w:rPr>
          <w:rtl w:val="0"/>
        </w:rPr>
        <w:t xml:space="preserve">: Loans neither labelled as “TC” nor found in “LIHTC Database”. These are the loans not in the scope of this model update.</w:t>
      </w:r>
    </w:p>
    <w:p w:rsidR="00000000" w:rsidDel="00000000" w:rsidP="00000000" w:rsidRDefault="00000000" w:rsidRPr="00000000" w14:paraId="00000047">
      <w:pPr>
        <w:numPr>
          <w:ilvl w:val="2"/>
          <w:numId w:val="1"/>
        </w:numPr>
        <w:ind w:left="2160" w:hanging="360"/>
        <w:rPr>
          <w:u w:val="none"/>
        </w:rPr>
      </w:pPr>
      <w:r w:rsidDel="00000000" w:rsidR="00000000" w:rsidRPr="00000000">
        <w:rPr>
          <w:b w:val="1"/>
          <w:rtl w:val="0"/>
        </w:rPr>
        <w:t xml:space="preserve">Area B</w:t>
      </w:r>
      <w:r w:rsidDel="00000000" w:rsidR="00000000" w:rsidRPr="00000000">
        <w:rPr>
          <w:rtl w:val="0"/>
        </w:rPr>
        <w:t xml:space="preserve">: Loans labelled as “TC”, but not found in “LIHTC Database”. These are the loans that we cannot rely on the additional information from “LIHTC Database” for modeling.</w:t>
      </w:r>
    </w:p>
    <w:p w:rsidR="00000000" w:rsidDel="00000000" w:rsidP="00000000" w:rsidRDefault="00000000" w:rsidRPr="00000000" w14:paraId="00000048">
      <w:pPr>
        <w:numPr>
          <w:ilvl w:val="2"/>
          <w:numId w:val="1"/>
        </w:numPr>
        <w:ind w:left="2160" w:hanging="360"/>
        <w:rPr>
          <w:u w:val="none"/>
        </w:rPr>
      </w:pPr>
      <w:r w:rsidDel="00000000" w:rsidR="00000000" w:rsidRPr="00000000">
        <w:rPr>
          <w:b w:val="1"/>
          <w:rtl w:val="0"/>
        </w:rPr>
        <w:t xml:space="preserve">Area C</w:t>
      </w:r>
      <w:r w:rsidDel="00000000" w:rsidR="00000000" w:rsidRPr="00000000">
        <w:rPr>
          <w:rtl w:val="0"/>
        </w:rPr>
        <w:t xml:space="preserve">: Loans both labelled as “TC” and have “LIHTC Database” matching. These are the loans that we can rely on the additional information from “LIHTC Database” for modeling.</w:t>
      </w:r>
    </w:p>
    <w:p w:rsidR="00000000" w:rsidDel="00000000" w:rsidP="00000000" w:rsidRDefault="00000000" w:rsidRPr="00000000" w14:paraId="00000049">
      <w:pPr>
        <w:numPr>
          <w:ilvl w:val="2"/>
          <w:numId w:val="1"/>
        </w:numPr>
        <w:ind w:left="2160" w:hanging="360"/>
        <w:rPr>
          <w:u w:val="none"/>
        </w:rPr>
      </w:pPr>
      <w:r w:rsidDel="00000000" w:rsidR="00000000" w:rsidRPr="00000000">
        <w:rPr>
          <w:b w:val="1"/>
          <w:rtl w:val="0"/>
        </w:rPr>
        <w:t xml:space="preserve">Area D</w:t>
      </w:r>
      <w:r w:rsidDel="00000000" w:rsidR="00000000" w:rsidRPr="00000000">
        <w:rPr>
          <w:rtl w:val="0"/>
        </w:rPr>
        <w:t xml:space="preserve">: Loans not labelled as “TC” but have matchings from “LIHTC Database”. These loans exhibit similar prepay pattern as the “TC” loans, and are also over-projected by the original GPL model. Hence, we treat those loans as “TC” as well.</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4A">
      <w:pPr>
        <w:numPr>
          <w:ilvl w:val="2"/>
          <w:numId w:val="1"/>
        </w:numPr>
        <w:ind w:left="2160" w:hanging="360"/>
        <w:rPr>
          <w:u w:val="none"/>
        </w:rPr>
      </w:pPr>
      <w:r w:rsidDel="00000000" w:rsidR="00000000" w:rsidRPr="00000000">
        <w:rPr>
          <w:b w:val="1"/>
          <w:rtl w:val="0"/>
        </w:rPr>
        <w:t xml:space="preserve">Area E</w:t>
      </w:r>
      <w:r w:rsidDel="00000000" w:rsidR="00000000" w:rsidRPr="00000000">
        <w:rPr>
          <w:rtl w:val="0"/>
        </w:rPr>
        <w:t xml:space="preserve">: Properties don’t have any FHA-insured loan found. Out of scope.</w:t>
      </w:r>
      <w:r w:rsidDel="00000000" w:rsidR="00000000" w:rsidRPr="00000000">
        <w:rPr/>
        <mc:AlternateContent>
          <mc:Choice Requires="wpg">
            <w:drawing>
              <wp:inline distB="114300" distT="114300" distL="114300" distR="114300">
                <wp:extent cx="4329113" cy="2755689"/>
                <wp:effectExtent b="0" l="0" r="0" t="0"/>
                <wp:docPr id="1" name=""/>
                <a:graphic>
                  <a:graphicData uri="http://schemas.microsoft.com/office/word/2010/wordprocessingGroup">
                    <wpg:wgp>
                      <wpg:cNvGrpSpPr/>
                      <wpg:grpSpPr>
                        <a:xfrm>
                          <a:off x="669075" y="766050"/>
                          <a:ext cx="4329113" cy="2755689"/>
                          <a:chOff x="669075" y="766050"/>
                          <a:chExt cx="9364425" cy="5953925"/>
                        </a:xfrm>
                      </wpg:grpSpPr>
                      <wps:wsp>
                        <wps:cNvSpPr/>
                        <wps:cNvPr id="2" name="Shape 2"/>
                        <wps:spPr>
                          <a:xfrm>
                            <a:off x="669075" y="766050"/>
                            <a:ext cx="7466400" cy="4547700"/>
                          </a:xfrm>
                          <a:prstGeom prst="rect">
                            <a:avLst/>
                          </a:prstGeom>
                          <a:solidFill>
                            <a:srgbClr val="FCE5C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720" w:right="0" w:firstLine="1440"/>
                                <w:jc w:val="left"/>
                                <w:textDirection w:val="btLr"/>
                              </w:pPr>
                              <w:r w:rsidDel="00000000" w:rsidR="00000000" w:rsidRPr="00000000">
                                <w:rPr>
                                  <w:rFonts w:ascii="Arial" w:cs="Arial" w:eastAsia="Arial" w:hAnsi="Arial"/>
                                  <w:b w:val="1"/>
                                  <w:i w:val="0"/>
                                  <w:smallCaps w:val="0"/>
                                  <w:strike w:val="0"/>
                                  <w:color w:val="000000"/>
                                  <w:sz w:val="48"/>
                                  <w:vertAlign w:val="baseline"/>
                                </w:rPr>
                                <w:t xml:space="preserve">GPL Universe</w:t>
                              </w:r>
                            </w:p>
                            <w:p w:rsidR="00000000" w:rsidDel="00000000" w:rsidP="00000000" w:rsidRDefault="00000000" w:rsidRPr="00000000">
                              <w:pPr>
                                <w:spacing w:after="0" w:before="0" w:line="240"/>
                                <w:ind w:left="720" w:right="0" w:firstLine="1440"/>
                                <w:jc w:val="left"/>
                                <w:textDirection w:val="btLr"/>
                              </w:pPr>
                              <w:r w:rsidDel="00000000" w:rsidR="00000000" w:rsidRPr="00000000">
                                <w:rPr>
                                  <w:rFonts w:ascii="Arial" w:cs="Arial" w:eastAsia="Arial" w:hAnsi="Arial"/>
                                  <w:b w:val="1"/>
                                  <w:i w:val="0"/>
                                  <w:smallCaps w:val="0"/>
                                  <w:strike w:val="0"/>
                                  <w:color w:val="000000"/>
                                  <w:sz w:val="48"/>
                                  <w:vertAlign w:val="baseline"/>
                                </w:rPr>
                              </w:r>
                              <w:r w:rsidDel="00000000" w:rsidR="00000000" w:rsidRPr="00000000">
                                <w:rPr>
                                  <w:rFonts w:ascii="Arial" w:cs="Arial" w:eastAsia="Arial" w:hAnsi="Arial"/>
                                  <w:b w:val="0"/>
                                  <w:i w:val="0"/>
                                  <w:smallCaps w:val="0"/>
                                  <w:strike w:val="0"/>
                                  <w:color w:val="38761d"/>
                                  <w:sz w:val="60"/>
                                  <w:vertAlign w:val="baseline"/>
                                </w:rPr>
                                <w:t xml:space="preserve">“Area A”</w:t>
                              </w:r>
                            </w:p>
                          </w:txbxContent>
                        </wps:txbx>
                        <wps:bodyPr anchorCtr="0" anchor="ctr" bIns="91425" lIns="91425" spcFirstLastPara="1" rIns="91425" wrap="square" tIns="91425"/>
                      </wps:wsp>
                      <wps:wsp>
                        <wps:cNvSpPr/>
                        <wps:cNvPr id="3" name="Shape 3"/>
                        <wps:spPr>
                          <a:xfrm>
                            <a:off x="4432975" y="1886000"/>
                            <a:ext cx="3093300" cy="29721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GPL loans </w:t>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labelled with “Tax Credit”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bf9000"/>
                                  <w:sz w:val="48"/>
                                  <w:vertAlign w:val="baseline"/>
                                </w:rPr>
                                <w:t xml:space="preserve">“Area B”</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f9000"/>
                                  <w:sz w:val="4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wps:wsp>
                      <wps:wsp>
                        <wps:cNvSpPr/>
                        <wps:cNvPr id="4" name="Shape 4"/>
                        <wps:spPr>
                          <a:xfrm>
                            <a:off x="4605900" y="3113975"/>
                            <a:ext cx="5427600" cy="36060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LIHTC Properties Database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8"/>
                                  <w:vertAlign w:val="baseline"/>
                                </w:rPr>
                              </w:r>
                              <w:r w:rsidDel="00000000" w:rsidR="00000000" w:rsidRPr="00000000">
                                <w:rPr>
                                  <w:rFonts w:ascii="Arial" w:cs="Arial" w:eastAsia="Arial" w:hAnsi="Arial"/>
                                  <w:b w:val="1"/>
                                  <w:i w:val="0"/>
                                  <w:smallCaps w:val="0"/>
                                  <w:strike w:val="0"/>
                                  <w:color w:val="000000"/>
                                  <w:sz w:val="48"/>
                                  <w:vertAlign w:val="baseline"/>
                                </w:rPr>
                                <w:t xml:space="preserve">“Area E”</w:t>
                              </w:r>
                            </w:p>
                          </w:txbxContent>
                        </wps:txbx>
                        <wps:bodyPr anchorCtr="0" anchor="ctr" bIns="91425" lIns="91425" spcFirstLastPara="1" rIns="91425" wrap="square" tIns="91425"/>
                      </wps:wsp>
                      <wps:wsp>
                        <wps:cNvSpPr txBox="1"/>
                        <wps:cNvPr id="5" name="Shape 5"/>
                        <wps:spPr>
                          <a:xfrm>
                            <a:off x="5565925" y="3849600"/>
                            <a:ext cx="1473900" cy="47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980000"/>
                                  <w:sz w:val="48"/>
                                  <w:vertAlign w:val="baseline"/>
                                </w:rPr>
                                <w:t xml:space="preserve">“Area C”</w:t>
                              </w:r>
                            </w:p>
                          </w:txbxContent>
                        </wps:txbx>
                        <wps:bodyPr anchorCtr="0" anchor="t" bIns="91425" lIns="91425" spcFirstLastPara="1" rIns="91425" wrap="square" tIns="91425"/>
                      </wps:wsp>
                      <wps:wsp>
                        <wps:cNvSpPr txBox="1"/>
                        <wps:cNvPr id="6" name="Shape 6"/>
                        <wps:spPr>
                          <a:xfrm>
                            <a:off x="6574375" y="4690475"/>
                            <a:ext cx="1561200" cy="47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1155cc"/>
                                  <w:sz w:val="48"/>
                                  <w:vertAlign w:val="baseline"/>
                                </w:rPr>
                                <w:t xml:space="preserve">“Area D”</w:t>
                              </w:r>
                            </w:p>
                          </w:txbxContent>
                        </wps:txbx>
                        <wps:bodyPr anchorCtr="0" anchor="t" bIns="91425" lIns="91425" spcFirstLastPara="1" rIns="91425" wrap="square" tIns="91425"/>
                      </wps:wsp>
                    </wpg:wgp>
                  </a:graphicData>
                </a:graphic>
              </wp:inline>
            </w:drawing>
          </mc:Choice>
          <mc:Fallback>
            <w:drawing>
              <wp:inline distB="114300" distT="114300" distL="114300" distR="114300">
                <wp:extent cx="4329113" cy="2755689"/>
                <wp:effectExtent b="0" l="0" r="0" t="0"/>
                <wp:docPr id="1" name="image25.png"/>
                <a:graphic>
                  <a:graphicData uri="http://schemas.openxmlformats.org/drawingml/2006/picture">
                    <pic:pic>
                      <pic:nvPicPr>
                        <pic:cNvPr id="0" name="image25.png"/>
                        <pic:cNvPicPr preferRelativeResize="0"/>
                      </pic:nvPicPr>
                      <pic:blipFill>
                        <a:blip r:embed="rId11"/>
                        <a:srcRect/>
                        <a:stretch>
                          <a:fillRect/>
                        </a:stretch>
                      </pic:blipFill>
                      <pic:spPr>
                        <a:xfrm>
                          <a:off x="0" y="0"/>
                          <a:ext cx="4329113" cy="275568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B">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C">
      <w:pPr>
        <w:rPr>
          <w:b w:val="1"/>
          <w:sz w:val="28"/>
          <w:szCs w:val="28"/>
        </w:rPr>
      </w:pPr>
      <w:r w:rsidDel="00000000" w:rsidR="00000000" w:rsidRPr="00000000">
        <w:rPr>
          <w:b w:val="1"/>
          <w:sz w:val="28"/>
          <w:szCs w:val="28"/>
          <w:rtl w:val="0"/>
        </w:rPr>
        <w:t xml:space="preserve">Hypothesis and Observation:</w:t>
      </w:r>
    </w:p>
    <w:p w:rsidR="00000000" w:rsidDel="00000000" w:rsidP="00000000" w:rsidRDefault="00000000" w:rsidRPr="00000000" w14:paraId="0000004D">
      <w:pPr>
        <w:rPr>
          <w:b w:val="1"/>
          <w:sz w:val="28"/>
          <w:szCs w:val="28"/>
        </w:rPr>
      </w:pPr>
      <w:r w:rsidDel="00000000" w:rsidR="00000000" w:rsidRPr="00000000">
        <w:rPr>
          <w:rtl w:val="0"/>
        </w:rPr>
      </w:r>
    </w:p>
    <w:p w:rsidR="00000000" w:rsidDel="00000000" w:rsidP="00000000" w:rsidRDefault="00000000" w:rsidRPr="00000000" w14:paraId="0000004E">
      <w:pPr>
        <w:rPr>
          <w:color w:val="4a86e8"/>
        </w:rPr>
      </w:pPr>
      <w:r w:rsidDel="00000000" w:rsidR="00000000" w:rsidRPr="00000000">
        <w:rPr>
          <w:b w:val="1"/>
          <w:i w:val="1"/>
          <w:color w:val="4a86e8"/>
          <w:rtl w:val="0"/>
        </w:rPr>
        <w:t xml:space="preserve">General Characteristics</w:t>
      </w:r>
      <w:r w:rsidDel="00000000" w:rsidR="00000000" w:rsidRPr="00000000">
        <w:rPr>
          <w:i w:val="1"/>
          <w:color w:val="4a86e8"/>
          <w:rtl w:val="0"/>
        </w:rPr>
        <w:t xml:space="preserve">:</w:t>
      </w:r>
      <w:r w:rsidDel="00000000" w:rsidR="00000000" w:rsidRPr="00000000">
        <w:rPr>
          <w:rtl w:val="0"/>
        </w:rPr>
      </w:r>
    </w:p>
    <w:p w:rsidR="00000000" w:rsidDel="00000000" w:rsidP="00000000" w:rsidRDefault="00000000" w:rsidRPr="00000000" w14:paraId="0000004F">
      <w:pPr>
        <w:numPr>
          <w:ilvl w:val="0"/>
          <w:numId w:val="5"/>
        </w:numPr>
        <w:ind w:left="720" w:hanging="360"/>
      </w:pPr>
      <w:r w:rsidDel="00000000" w:rsidR="00000000" w:rsidRPr="00000000">
        <w:rPr>
          <w:b w:val="1"/>
          <w:rtl w:val="0"/>
        </w:rPr>
        <w:t xml:space="preserve">Data Overview </w:t>
      </w:r>
      <w:r w:rsidDel="00000000" w:rsidR="00000000" w:rsidRPr="00000000">
        <w:rPr>
          <w:rtl w:val="0"/>
        </w:rPr>
        <w:t xml:space="preserve">(S-curve): Both incentive-driven &amp; non-incentive-driven prepayments are slower than normal GPL loans.</w:t>
      </w:r>
    </w:p>
    <w:p w:rsidR="00000000" w:rsidDel="00000000" w:rsidP="00000000" w:rsidRDefault="00000000" w:rsidRPr="00000000" w14:paraId="00000050">
      <w:pPr>
        <w:numPr>
          <w:ilvl w:val="1"/>
          <w:numId w:val="5"/>
        </w:numPr>
        <w:ind w:left="1440" w:hanging="360"/>
      </w:pPr>
      <w:r w:rsidDel="00000000" w:rsidR="00000000" w:rsidRPr="00000000">
        <w:rPr>
          <w:rtl w:val="0"/>
        </w:rPr>
        <w:t xml:space="preserve">Dataset #1: Actual CRR (All GPL loans) vs Penalty-Adjusted Incentive</w:t>
      </w:r>
    </w:p>
    <w:p w:rsidR="00000000" w:rsidDel="00000000" w:rsidP="00000000" w:rsidRDefault="00000000" w:rsidRPr="00000000" w14:paraId="00000051">
      <w:pPr>
        <w:ind w:left="1440" w:firstLine="0"/>
        <w:rPr/>
      </w:pPr>
      <w:r w:rsidDel="00000000" w:rsidR="00000000" w:rsidRPr="00000000">
        <w:rPr/>
        <w:drawing>
          <wp:inline distB="114300" distT="114300" distL="114300" distR="114300">
            <wp:extent cx="3890963" cy="2302153"/>
            <wp:effectExtent b="0" l="0" r="0" t="0"/>
            <wp:docPr id="24"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3890963" cy="2302153"/>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numPr>
          <w:ilvl w:val="1"/>
          <w:numId w:val="5"/>
        </w:numPr>
        <w:ind w:left="1440" w:hanging="360"/>
      </w:pPr>
      <w:r w:rsidDel="00000000" w:rsidR="00000000" w:rsidRPr="00000000">
        <w:rPr>
          <w:rtl w:val="0"/>
        </w:rPr>
        <w:t xml:space="preserve">Dataset #3: Actual CRR (LIHTC loans) vs Penalty-Adjusted Incentive</w:t>
      </w:r>
    </w:p>
    <w:p w:rsidR="00000000" w:rsidDel="00000000" w:rsidP="00000000" w:rsidRDefault="00000000" w:rsidRPr="00000000" w14:paraId="00000053">
      <w:pPr>
        <w:ind w:left="1440" w:firstLine="0"/>
        <w:rPr/>
      </w:pPr>
      <w:r w:rsidDel="00000000" w:rsidR="00000000" w:rsidRPr="00000000">
        <w:rPr/>
        <w:drawing>
          <wp:inline distB="114300" distT="114300" distL="114300" distR="114300">
            <wp:extent cx="3833813" cy="1958882"/>
            <wp:effectExtent b="0" l="0" r="0" t="0"/>
            <wp:docPr id="1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833813" cy="1958882"/>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5"/>
        </w:numPr>
        <w:ind w:left="720" w:hanging="360"/>
      </w:pPr>
      <w:r w:rsidDel="00000000" w:rsidR="00000000" w:rsidRPr="00000000">
        <w:rPr>
          <w:b w:val="1"/>
          <w:rtl w:val="0"/>
        </w:rPr>
        <w:t xml:space="preserve">Incentive-driven Prepay </w:t>
      </w:r>
      <w:r w:rsidDel="00000000" w:rsidR="00000000" w:rsidRPr="00000000">
        <w:rPr>
          <w:rtl w:val="0"/>
        </w:rPr>
        <w:t xml:space="preserve">(Refi)</w:t>
      </w:r>
      <w:r w:rsidDel="00000000" w:rsidR="00000000" w:rsidRPr="00000000">
        <w:rPr>
          <w:rtl w:val="0"/>
        </w:rPr>
        <w:t xml:space="preserve">: </w:t>
      </w:r>
    </w:p>
    <w:p w:rsidR="00000000" w:rsidDel="00000000" w:rsidP="00000000" w:rsidRDefault="00000000" w:rsidRPr="00000000" w14:paraId="00000055">
      <w:pPr>
        <w:numPr>
          <w:ilvl w:val="1"/>
          <w:numId w:val="5"/>
        </w:numPr>
        <w:ind w:left="1440" w:hanging="360"/>
      </w:pPr>
      <w:r w:rsidDel="00000000" w:rsidR="00000000" w:rsidRPr="00000000">
        <w:rPr>
          <w:color w:val="a61c00"/>
          <w:rtl w:val="0"/>
        </w:rPr>
        <w:t xml:space="preserve">There is Incentive driven refinance for LIHTC loans both before &amp; after year 15.</w:t>
      </w:r>
      <w:r w:rsidDel="00000000" w:rsidR="00000000" w:rsidRPr="00000000">
        <w:rPr>
          <w:rtl w:val="0"/>
        </w:rPr>
        <w:t xml:space="preserve"> </w:t>
      </w:r>
      <w:r w:rsidDel="00000000" w:rsidR="00000000" w:rsidRPr="00000000">
        <w:rPr>
          <w:rtl w:val="0"/>
        </w:rPr>
        <w:t xml:space="preserve">Sometimes the original GP of a LIHTC property will have refinanced before Year 15 to take advantage of better financing terms such as lower mortgage interest rates (</w:t>
      </w:r>
      <w:r w:rsidDel="00000000" w:rsidR="00000000" w:rsidRPr="00000000">
        <w:rPr>
          <w:i w:val="1"/>
          <w:rtl w:val="0"/>
        </w:rPr>
        <w:t xml:space="preserve">pp.51 What happens...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6">
      <w:pPr>
        <w:numPr>
          <w:ilvl w:val="0"/>
          <w:numId w:val="5"/>
        </w:numPr>
        <w:ind w:left="720" w:hanging="360"/>
        <w:rPr>
          <w:u w:val="none"/>
        </w:rPr>
      </w:pPr>
      <w:r w:rsidDel="00000000" w:rsidR="00000000" w:rsidRPr="00000000">
        <w:rPr>
          <w:b w:val="1"/>
          <w:rtl w:val="0"/>
        </w:rPr>
        <w:t xml:space="preserve">Non-Incentive-driven Prepay</w:t>
      </w:r>
      <w:r w:rsidDel="00000000" w:rsidR="00000000" w:rsidRPr="00000000">
        <w:rPr>
          <w:rtl w:val="0"/>
        </w:rPr>
        <w:t xml:space="preserve"> (Turnover, Renovation, “Cash-Out” to pay GP, etc.)</w:t>
      </w:r>
      <w:r w:rsidDel="00000000" w:rsidR="00000000" w:rsidRPr="00000000">
        <w:rPr>
          <w:rtl w:val="0"/>
        </w:rPr>
        <w:t xml:space="preserve">: </w:t>
      </w:r>
      <w:commentRangeStart w:id="0"/>
      <w:r w:rsidDel="00000000" w:rsidR="00000000" w:rsidRPr="00000000">
        <w:rPr>
          <w:rtl w:val="0"/>
        </w:rPr>
      </w:r>
    </w:p>
    <w:p w:rsidR="00000000" w:rsidDel="00000000" w:rsidP="00000000" w:rsidRDefault="00000000" w:rsidRPr="00000000" w14:paraId="00000057">
      <w:pPr>
        <w:numPr>
          <w:ilvl w:val="1"/>
          <w:numId w:val="5"/>
        </w:numPr>
        <w:ind w:left="1440" w:hanging="360"/>
        <w:rPr/>
      </w:pPr>
      <w:commentRangeEnd w:id="0"/>
      <w:r w:rsidDel="00000000" w:rsidR="00000000" w:rsidRPr="00000000">
        <w:commentReference w:id="0"/>
      </w:r>
      <w:r w:rsidDel="00000000" w:rsidR="00000000" w:rsidRPr="00000000">
        <w:rPr>
          <w:rtl w:val="0"/>
        </w:rPr>
        <w:t xml:space="preserve">Turnover:</w:t>
      </w:r>
      <w:r w:rsidDel="00000000" w:rsidR="00000000" w:rsidRPr="00000000">
        <w:rPr>
          <w:rtl w:val="0"/>
        </w:rPr>
      </w:r>
    </w:p>
    <w:p w:rsidR="00000000" w:rsidDel="00000000" w:rsidP="00000000" w:rsidRDefault="00000000" w:rsidRPr="00000000" w14:paraId="00000058">
      <w:pPr>
        <w:numPr>
          <w:ilvl w:val="2"/>
          <w:numId w:val="5"/>
        </w:numPr>
        <w:ind w:left="2160" w:hanging="360"/>
      </w:pPr>
      <w:r w:rsidDel="00000000" w:rsidR="00000000" w:rsidRPr="00000000">
        <w:rPr>
          <w:color w:val="a61c00"/>
          <w:rtl w:val="0"/>
        </w:rPr>
        <w:t xml:space="preserve">There is turnover prepayments for LIHTC loans both before &amp; after year 15. </w:t>
      </w:r>
      <w:r w:rsidDel="00000000" w:rsidR="00000000" w:rsidRPr="00000000">
        <w:rPr>
          <w:rtl w:val="0"/>
        </w:rPr>
        <w:t xml:space="preserve">A change in ownership for a LIHTC property can happen at any time (</w:t>
      </w:r>
      <w:r w:rsidDel="00000000" w:rsidR="00000000" w:rsidRPr="00000000">
        <w:rPr>
          <w:i w:val="1"/>
          <w:rtl w:val="0"/>
        </w:rPr>
        <w:t xml:space="preserve">pp.xiii What happens...</w:t>
      </w:r>
      <w:r w:rsidDel="00000000" w:rsidR="00000000" w:rsidRPr="00000000">
        <w:rPr>
          <w:rtl w:val="0"/>
        </w:rPr>
        <w:t xml:space="preserve">). </w:t>
      </w:r>
      <w:r w:rsidDel="00000000" w:rsidR="00000000" w:rsidRPr="00000000">
        <w:rPr>
          <w:rtl w:val="0"/>
        </w:rPr>
        <w:t xml:space="preserve">Typical Reasons include: Retirement, Leaving the business, etc. (</w:t>
      </w:r>
      <w:r w:rsidDel="00000000" w:rsidR="00000000" w:rsidRPr="00000000">
        <w:rPr>
          <w:i w:val="1"/>
          <w:rtl w:val="0"/>
        </w:rPr>
        <w:t xml:space="preserve">pp.33 What happens...</w:t>
      </w:r>
      <w:r w:rsidDel="00000000" w:rsidR="00000000" w:rsidRPr="00000000">
        <w:rPr>
          <w:rtl w:val="0"/>
        </w:rPr>
        <w:t xml:space="preserve">)</w:t>
      </w:r>
    </w:p>
    <w:p w:rsidR="00000000" w:rsidDel="00000000" w:rsidP="00000000" w:rsidRDefault="00000000" w:rsidRPr="00000000" w14:paraId="00000059">
      <w:pPr>
        <w:numPr>
          <w:ilvl w:val="2"/>
          <w:numId w:val="5"/>
        </w:numPr>
        <w:ind w:left="2160" w:hanging="360"/>
        <w:rPr/>
      </w:pPr>
      <w:r w:rsidDel="00000000" w:rsidR="00000000" w:rsidRPr="00000000">
        <w:rPr>
          <w:color w:val="a61c00"/>
          <w:rtl w:val="0"/>
        </w:rPr>
        <w:t xml:space="preserve">Turnover can be lower than normal loans because the LIHTC use restrictions still apply after the sell</w:t>
      </w:r>
      <w:r w:rsidDel="00000000" w:rsidR="00000000" w:rsidRPr="00000000">
        <w:rPr>
          <w:rtl w:val="0"/>
        </w:rPr>
        <w:t xml:space="preserve"> (</w:t>
      </w:r>
      <w:r w:rsidDel="00000000" w:rsidR="00000000" w:rsidRPr="00000000">
        <w:rPr>
          <w:i w:val="1"/>
          <w:rtl w:val="0"/>
        </w:rPr>
        <w:t xml:space="preserve">pp.33, 34 What happens...</w:t>
      </w:r>
      <w:r w:rsidDel="00000000" w:rsidR="00000000" w:rsidRPr="00000000">
        <w:rPr>
          <w:rtl w:val="0"/>
        </w:rPr>
        <w:t xml:space="preserve">). If a property has LIHTC income restrictions for 30 years, then these restrictions will be used in assessing market value, although the assessment might also include what the property might sell for under a Qualified Contract (QC) sale (</w:t>
      </w:r>
      <w:r w:rsidDel="00000000" w:rsidR="00000000" w:rsidRPr="00000000">
        <w:rPr>
          <w:i w:val="1"/>
          <w:rtl w:val="0"/>
        </w:rPr>
        <w:t xml:space="preserve">pp.30 What happens...</w:t>
      </w:r>
      <w:r w:rsidDel="00000000" w:rsidR="00000000" w:rsidRPr="00000000">
        <w:rPr>
          <w:rtl w:val="0"/>
        </w:rPr>
        <w:t xml:space="preserve">).</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5A">
      <w:pPr>
        <w:ind w:left="2160" w:firstLine="0"/>
        <w:rPr/>
      </w:pPr>
      <w:r w:rsidDel="00000000" w:rsidR="00000000" w:rsidRPr="00000000">
        <w:rPr>
          <w:rtl w:val="0"/>
        </w:rPr>
      </w:r>
    </w:p>
    <w:p w:rsidR="00000000" w:rsidDel="00000000" w:rsidP="00000000" w:rsidRDefault="00000000" w:rsidRPr="00000000" w14:paraId="0000005B">
      <w:pPr>
        <w:numPr>
          <w:ilvl w:val="1"/>
          <w:numId w:val="5"/>
        </w:numPr>
        <w:ind w:left="1440" w:hanging="360"/>
      </w:pPr>
      <w:r w:rsidDel="00000000" w:rsidR="00000000" w:rsidRPr="00000000">
        <w:rPr>
          <w:rtl w:val="0"/>
        </w:rPr>
        <w:t xml:space="preserve">Renovation:</w:t>
      </w:r>
    </w:p>
    <w:p w:rsidR="00000000" w:rsidDel="00000000" w:rsidP="00000000" w:rsidRDefault="00000000" w:rsidRPr="00000000" w14:paraId="0000005C">
      <w:pPr>
        <w:numPr>
          <w:ilvl w:val="2"/>
          <w:numId w:val="5"/>
        </w:numPr>
        <w:ind w:left="2160" w:hanging="360"/>
      </w:pPr>
      <w:r w:rsidDel="00000000" w:rsidR="00000000" w:rsidRPr="00000000">
        <w:rPr>
          <w:color w:val="a61c00"/>
          <w:rtl w:val="0"/>
        </w:rPr>
        <w:t xml:space="preserve">There is renovation-related refi prepayments for LIHTC loans. </w:t>
      </w:r>
      <w:r w:rsidDel="00000000" w:rsidR="00000000" w:rsidRPr="00000000">
        <w:rPr>
          <w:rtl w:val="0"/>
        </w:rPr>
        <w:t xml:space="preserve">Both continuing and new owners typically refinance at Year 15, and low interest rates have enabled them to fund modest renovations (</w:t>
      </w:r>
      <w:r w:rsidDel="00000000" w:rsidR="00000000" w:rsidRPr="00000000">
        <w:rPr>
          <w:i w:val="1"/>
          <w:rtl w:val="0"/>
        </w:rPr>
        <w:t xml:space="preserve">pp.xv What happens...</w:t>
      </w:r>
      <w:r w:rsidDel="00000000" w:rsidR="00000000" w:rsidRPr="00000000">
        <w:rPr>
          <w:rtl w:val="0"/>
        </w:rPr>
        <w:t xml:space="preserve">).</w:t>
      </w:r>
    </w:p>
    <w:p w:rsidR="00000000" w:rsidDel="00000000" w:rsidP="00000000" w:rsidRDefault="00000000" w:rsidRPr="00000000" w14:paraId="0000005D">
      <w:pPr>
        <w:ind w:left="2160" w:firstLine="0"/>
        <w:rPr/>
      </w:pPr>
      <w:r w:rsidDel="00000000" w:rsidR="00000000" w:rsidRPr="00000000">
        <w:rPr>
          <w:rtl w:val="0"/>
        </w:rPr>
      </w:r>
    </w:p>
    <w:p w:rsidR="00000000" w:rsidDel="00000000" w:rsidP="00000000" w:rsidRDefault="00000000" w:rsidRPr="00000000" w14:paraId="0000005E">
      <w:pPr>
        <w:numPr>
          <w:ilvl w:val="1"/>
          <w:numId w:val="5"/>
        </w:numPr>
        <w:ind w:left="1440" w:hanging="360"/>
        <w:rPr>
          <w:u w:val="none"/>
        </w:rPr>
      </w:pPr>
      <w:r w:rsidDel="00000000" w:rsidR="00000000" w:rsidRPr="00000000">
        <w:rPr>
          <w:rtl w:val="0"/>
        </w:rPr>
        <w:t xml:space="preserve">“Cash-out”:</w:t>
      </w:r>
    </w:p>
    <w:p w:rsidR="00000000" w:rsidDel="00000000" w:rsidP="00000000" w:rsidRDefault="00000000" w:rsidRPr="00000000" w14:paraId="0000005F">
      <w:pPr>
        <w:numPr>
          <w:ilvl w:val="2"/>
          <w:numId w:val="5"/>
        </w:numPr>
        <w:ind w:left="2160" w:hanging="360"/>
        <w:rPr>
          <w:u w:val="none"/>
        </w:rPr>
      </w:pPr>
      <w:r w:rsidDel="00000000" w:rsidR="00000000" w:rsidRPr="00000000">
        <w:rPr>
          <w:rtl w:val="0"/>
        </w:rPr>
        <w:t xml:space="preserve">There is a special refi occasion to LIHTC loans, when the LPs sell their interests in the property to the General Partner (around year 15) but the GP doesn’t have enough money to buy. An example is...the GP and LP negotiated a multi-million dollar payment, beyond the value of the debt on the property, from the GP to the LP. The GP paid for this by refinancing the mortgage debt on the property (</w:t>
      </w:r>
      <w:r w:rsidDel="00000000" w:rsidR="00000000" w:rsidRPr="00000000">
        <w:rPr>
          <w:i w:val="1"/>
          <w:rtl w:val="0"/>
        </w:rPr>
        <w:t xml:space="preserve">pp.30 What happens...</w:t>
      </w:r>
      <w:r w:rsidDel="00000000" w:rsidR="00000000" w:rsidRPr="00000000">
        <w:rPr>
          <w:rtl w:val="0"/>
        </w:rPr>
        <w:t xml:space="preserve">). This is discussed further in “year 15” situation.</w:t>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ind w:left="0" w:firstLine="0"/>
        <w:rPr>
          <w:b w:val="1"/>
          <w:i w:val="1"/>
        </w:rPr>
      </w:pPr>
      <w:r w:rsidDel="00000000" w:rsidR="00000000" w:rsidRPr="00000000">
        <w:rPr>
          <w:rtl w:val="0"/>
        </w:rPr>
      </w:r>
    </w:p>
    <w:p w:rsidR="00000000" w:rsidDel="00000000" w:rsidP="00000000" w:rsidRDefault="00000000" w:rsidRPr="00000000" w14:paraId="00000062">
      <w:pPr>
        <w:ind w:left="0" w:firstLine="0"/>
        <w:rPr>
          <w:b w:val="1"/>
          <w:i w:val="1"/>
        </w:rPr>
      </w:pPr>
      <w:r w:rsidDel="00000000" w:rsidR="00000000" w:rsidRPr="00000000">
        <w:rPr>
          <w:rtl w:val="0"/>
        </w:rPr>
      </w:r>
    </w:p>
    <w:p w:rsidR="00000000" w:rsidDel="00000000" w:rsidP="00000000" w:rsidRDefault="00000000" w:rsidRPr="00000000" w14:paraId="00000063">
      <w:pPr>
        <w:ind w:left="0" w:firstLine="0"/>
        <w:rPr>
          <w:b w:val="1"/>
          <w:i w:val="1"/>
          <w:color w:val="4a86e8"/>
        </w:rPr>
      </w:pPr>
      <w:r w:rsidDel="00000000" w:rsidR="00000000" w:rsidRPr="00000000">
        <w:rPr>
          <w:b w:val="1"/>
          <w:i w:val="1"/>
          <w:color w:val="4a86e8"/>
          <w:rtl w:val="0"/>
        </w:rPr>
        <w:t xml:space="preserve">Around Year 15 (Since receiving LIHTC):</w:t>
      </w:r>
    </w:p>
    <w:p w:rsidR="00000000" w:rsidDel="00000000" w:rsidP="00000000" w:rsidRDefault="00000000" w:rsidRPr="00000000" w14:paraId="00000064">
      <w:pPr>
        <w:ind w:left="720" w:firstLine="0"/>
        <w:rPr>
          <w:sz w:val="18"/>
          <w:szCs w:val="18"/>
        </w:rPr>
      </w:pPr>
      <w:r w:rsidDel="00000000" w:rsidR="00000000" w:rsidRPr="00000000">
        <w:rPr>
          <w:sz w:val="18"/>
          <w:szCs w:val="18"/>
          <w:rtl w:val="0"/>
        </w:rPr>
        <w:t xml:space="preserve">The ownership change is most likely to take place around Year 15, however, because it is in the interest of limited partners (LPs) to end their ownership role quickly after the compliance period ends. For properties with extended LIHTC restrictions through Year 30, however, the use agreements between the original owners and the state allocating agencies remain in force (</w:t>
      </w:r>
      <w:r w:rsidDel="00000000" w:rsidR="00000000" w:rsidRPr="00000000">
        <w:rPr>
          <w:i w:val="1"/>
          <w:sz w:val="18"/>
          <w:szCs w:val="18"/>
          <w:rtl w:val="0"/>
        </w:rPr>
        <w:t xml:space="preserve">pp.37 What If...</w:t>
      </w:r>
      <w:r w:rsidDel="00000000" w:rsidR="00000000" w:rsidRPr="00000000">
        <w:rPr>
          <w:sz w:val="18"/>
          <w:szCs w:val="18"/>
          <w:rtl w:val="0"/>
        </w:rPr>
        <w:t xml:space="preserve">), with the only possibility of relief a complicated QC process (</w:t>
      </w:r>
      <w:r w:rsidDel="00000000" w:rsidR="00000000" w:rsidRPr="00000000">
        <w:rPr>
          <w:i w:val="1"/>
          <w:sz w:val="18"/>
          <w:szCs w:val="18"/>
          <w:rtl w:val="0"/>
        </w:rPr>
        <w:t xml:space="preserve">pp.78 What happens...</w:t>
      </w:r>
      <w:r w:rsidDel="00000000" w:rsidR="00000000" w:rsidRPr="00000000">
        <w:rPr>
          <w:sz w:val="18"/>
          <w:szCs w:val="18"/>
          <w:rtl w:val="0"/>
        </w:rPr>
        <w:t xml:space="preserve">)</w:t>
      </w:r>
    </w:p>
    <w:p w:rsidR="00000000" w:rsidDel="00000000" w:rsidP="00000000" w:rsidRDefault="00000000" w:rsidRPr="00000000" w14:paraId="00000065">
      <w:pPr>
        <w:ind w:left="720" w:firstLine="0"/>
        <w:rPr>
          <w:sz w:val="18"/>
          <w:szCs w:val="18"/>
        </w:rPr>
      </w:pPr>
      <w:r w:rsidDel="00000000" w:rsidR="00000000" w:rsidRPr="00000000">
        <w:rPr>
          <w:rtl w:val="0"/>
        </w:rPr>
      </w:r>
    </w:p>
    <w:p w:rsidR="00000000" w:rsidDel="00000000" w:rsidP="00000000" w:rsidRDefault="00000000" w:rsidRPr="00000000" w14:paraId="00000066">
      <w:pPr>
        <w:numPr>
          <w:ilvl w:val="0"/>
          <w:numId w:val="8"/>
        </w:numPr>
        <w:ind w:left="720" w:hanging="360"/>
      </w:pPr>
      <w:r w:rsidDel="00000000" w:rsidR="00000000" w:rsidRPr="00000000">
        <w:rPr>
          <w:b w:val="1"/>
          <w:rtl w:val="0"/>
        </w:rPr>
        <w:t xml:space="preserve">Incentive-driven Prepay </w:t>
      </w:r>
      <w:r w:rsidDel="00000000" w:rsidR="00000000" w:rsidRPr="00000000">
        <w:rPr>
          <w:i w:val="1"/>
          <w:rtl w:val="0"/>
        </w:rPr>
        <w:t xml:space="preserve">(Refi)</w:t>
      </w:r>
      <w:r w:rsidDel="00000000" w:rsidR="00000000" w:rsidRPr="00000000">
        <w:rPr>
          <w:rtl w:val="0"/>
        </w:rPr>
        <w:t xml:space="preserve">:</w:t>
      </w:r>
    </w:p>
    <w:p w:rsidR="00000000" w:rsidDel="00000000" w:rsidP="00000000" w:rsidRDefault="00000000" w:rsidRPr="00000000" w14:paraId="00000067">
      <w:pPr>
        <w:numPr>
          <w:ilvl w:val="1"/>
          <w:numId w:val="8"/>
        </w:numPr>
        <w:ind w:left="1440" w:hanging="360"/>
      </w:pPr>
      <w:r w:rsidDel="00000000" w:rsidR="00000000" w:rsidRPr="00000000">
        <w:rPr>
          <w:b w:val="1"/>
          <w:rtl w:val="0"/>
        </w:rPr>
        <w:t xml:space="preserve">Refi</w:t>
      </w:r>
      <w:r w:rsidDel="00000000" w:rsidR="00000000" w:rsidRPr="00000000">
        <w:rPr>
          <w:i w:val="1"/>
          <w:rtl w:val="0"/>
        </w:rPr>
        <w:t xml:space="preserve">:</w:t>
      </w:r>
    </w:p>
    <w:p w:rsidR="00000000" w:rsidDel="00000000" w:rsidP="00000000" w:rsidRDefault="00000000" w:rsidRPr="00000000" w14:paraId="00000068">
      <w:pPr>
        <w:numPr>
          <w:ilvl w:val="2"/>
          <w:numId w:val="8"/>
        </w:numPr>
        <w:ind w:left="2160" w:hanging="360"/>
      </w:pPr>
      <w:r w:rsidDel="00000000" w:rsidR="00000000" w:rsidRPr="00000000">
        <w:rPr>
          <w:i w:val="1"/>
          <w:rtl w:val="0"/>
        </w:rPr>
        <w:t xml:space="preserve">Before year 15</w:t>
      </w:r>
      <w:r w:rsidDel="00000000" w:rsidR="00000000" w:rsidRPr="00000000">
        <w:rPr>
          <w:rtl w:val="0"/>
        </w:rPr>
        <w:t xml:space="preserve">, this requires the </w:t>
      </w:r>
      <w:r w:rsidDel="00000000" w:rsidR="00000000" w:rsidRPr="00000000">
        <w:rPr>
          <w:b w:val="1"/>
          <w:rtl w:val="0"/>
        </w:rPr>
        <w:t xml:space="preserve">approval and cooperation of all parties</w:t>
      </w:r>
      <w:r w:rsidDel="00000000" w:rsidR="00000000" w:rsidRPr="00000000">
        <w:rPr>
          <w:rtl w:val="0"/>
        </w:rPr>
        <w:t xml:space="preserve"> to a deal: GPs and Limited Partners (LPs) plus funders (</w:t>
      </w:r>
      <w:r w:rsidDel="00000000" w:rsidR="00000000" w:rsidRPr="00000000">
        <w:rPr>
          <w:i w:val="1"/>
          <w:rtl w:val="0"/>
        </w:rPr>
        <w:t xml:space="preserve">pp.51 What happens...</w:t>
      </w:r>
      <w:r w:rsidDel="00000000" w:rsidR="00000000" w:rsidRPr="00000000">
        <w:rPr>
          <w:rtl w:val="0"/>
        </w:rPr>
        <w:t xml:space="preserve">).</w:t>
      </w:r>
      <w:r w:rsidDel="00000000" w:rsidR="00000000" w:rsidRPr="00000000">
        <w:rPr>
          <w:color w:val="a61c00"/>
          <w:rtl w:val="0"/>
        </w:rPr>
        <w:t xml:space="preserve"> Refi CPR may be lower before year 15 because of the negotiation with LP.</w:t>
      </w:r>
    </w:p>
    <w:p w:rsidR="00000000" w:rsidDel="00000000" w:rsidP="00000000" w:rsidRDefault="00000000" w:rsidRPr="00000000" w14:paraId="00000069">
      <w:pPr>
        <w:ind w:left="2160" w:firstLine="0"/>
        <w:rPr>
          <w:color w:val="a61c00"/>
        </w:rPr>
      </w:pPr>
      <w:r w:rsidDel="00000000" w:rsidR="00000000" w:rsidRPr="00000000">
        <w:rPr>
          <w:rtl w:val="0"/>
        </w:rPr>
      </w:r>
    </w:p>
    <w:p w:rsidR="00000000" w:rsidDel="00000000" w:rsidP="00000000" w:rsidRDefault="00000000" w:rsidRPr="00000000" w14:paraId="0000006A">
      <w:pPr>
        <w:numPr>
          <w:ilvl w:val="1"/>
          <w:numId w:val="8"/>
        </w:numPr>
        <w:ind w:left="1440" w:hanging="360"/>
        <w:rPr/>
      </w:pPr>
      <w:r w:rsidDel="00000000" w:rsidR="00000000" w:rsidRPr="00000000">
        <w:rPr>
          <w:b w:val="1"/>
          <w:rtl w:val="0"/>
        </w:rPr>
        <w:t xml:space="preserve">From Data</w:t>
      </w:r>
      <w:r w:rsidDel="00000000" w:rsidR="00000000" w:rsidRPr="00000000">
        <w:rPr>
          <w:rtl w:val="0"/>
        </w:rPr>
        <w:t xml:space="preserve">: </w:t>
      </w:r>
    </w:p>
    <w:p w:rsidR="00000000" w:rsidDel="00000000" w:rsidP="00000000" w:rsidRDefault="00000000" w:rsidRPr="00000000" w14:paraId="0000006B">
      <w:pPr>
        <w:numPr>
          <w:ilvl w:val="2"/>
          <w:numId w:val="8"/>
        </w:numPr>
        <w:ind w:left="2160" w:hanging="360"/>
        <w:rPr/>
      </w:pPr>
      <w:r w:rsidDel="00000000" w:rsidR="00000000" w:rsidRPr="00000000">
        <w:rPr>
          <w:sz w:val="18"/>
          <w:szCs w:val="18"/>
          <w:rtl w:val="0"/>
        </w:rPr>
        <w:t xml:space="preserve">Dataset #4: Actual CRR vs Years Since Receiving TC (Positive Penalty-Adjusted Incentive)</w:t>
      </w:r>
      <w:r w:rsidDel="00000000" w:rsidR="00000000" w:rsidRPr="00000000">
        <w:rPr>
          <w:sz w:val="18"/>
          <w:szCs w:val="18"/>
        </w:rPr>
        <w:drawing>
          <wp:inline distB="114300" distT="114300" distL="114300" distR="114300">
            <wp:extent cx="4405313" cy="2393271"/>
            <wp:effectExtent b="0" l="0" r="0" t="0"/>
            <wp:docPr id="1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405313" cy="2393271"/>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numPr>
          <w:ilvl w:val="0"/>
          <w:numId w:val="8"/>
        </w:numPr>
        <w:ind w:left="720" w:hanging="360"/>
        <w:rPr>
          <w:b w:val="1"/>
          <w:u w:val="none"/>
        </w:rPr>
      </w:pPr>
      <w:r w:rsidDel="00000000" w:rsidR="00000000" w:rsidRPr="00000000">
        <w:rPr>
          <w:b w:val="1"/>
          <w:rtl w:val="0"/>
        </w:rPr>
        <w:t xml:space="preserve">Non-incentive-driven Prepay:</w:t>
      </w:r>
      <w:r w:rsidDel="00000000" w:rsidR="00000000" w:rsidRPr="00000000">
        <w:rPr>
          <w:rtl w:val="0"/>
        </w:rPr>
      </w:r>
    </w:p>
    <w:p w:rsidR="00000000" w:rsidDel="00000000" w:rsidP="00000000" w:rsidRDefault="00000000" w:rsidRPr="00000000" w14:paraId="0000006D">
      <w:pPr>
        <w:numPr>
          <w:ilvl w:val="0"/>
          <w:numId w:val="2"/>
        </w:numPr>
        <w:ind w:left="1440" w:hanging="360"/>
      </w:pPr>
      <w:r w:rsidDel="00000000" w:rsidR="00000000" w:rsidRPr="00000000">
        <w:rPr>
          <w:b w:val="1"/>
          <w:rtl w:val="0"/>
        </w:rPr>
        <w:t xml:space="preserve">Turnover </w:t>
      </w:r>
      <w:r w:rsidDel="00000000" w:rsidR="00000000" w:rsidRPr="00000000">
        <w:rPr>
          <w:rtl w:val="0"/>
        </w:rPr>
        <w:t xml:space="preserve">(LP seeking financial return): </w:t>
      </w:r>
      <w:r w:rsidDel="00000000" w:rsidR="00000000" w:rsidRPr="00000000">
        <w:rPr>
          <w:color w:val="a61c00"/>
          <w:rtl w:val="0"/>
        </w:rPr>
        <w:t xml:space="preserve">Spike around LP’s exit (year 15)</w:t>
      </w:r>
      <w:r w:rsidDel="00000000" w:rsidR="00000000" w:rsidRPr="00000000">
        <w:rPr>
          <w:rtl w:val="0"/>
        </w:rPr>
      </w:r>
    </w:p>
    <w:p w:rsidR="00000000" w:rsidDel="00000000" w:rsidP="00000000" w:rsidRDefault="00000000" w:rsidRPr="00000000" w14:paraId="0000006E">
      <w:pPr>
        <w:numPr>
          <w:ilvl w:val="1"/>
          <w:numId w:val="2"/>
        </w:numPr>
        <w:ind w:left="2160" w:hanging="360"/>
        <w:rPr/>
      </w:pPr>
      <w:r w:rsidDel="00000000" w:rsidR="00000000" w:rsidRPr="00000000">
        <w:rPr>
          <w:rtl w:val="0"/>
        </w:rPr>
        <w:t xml:space="preserve">Although most GPs retain ownership of their LIHTC properties at Year 15, a </w:t>
      </w:r>
      <w:r w:rsidDel="00000000" w:rsidR="00000000" w:rsidRPr="00000000">
        <w:rPr>
          <w:b w:val="1"/>
          <w:rtl w:val="0"/>
        </w:rPr>
        <w:t xml:space="preserve">minority </w:t>
      </w:r>
      <w:r w:rsidDel="00000000" w:rsidR="00000000" w:rsidRPr="00000000">
        <w:rPr>
          <w:rtl w:val="0"/>
        </w:rPr>
        <w:t xml:space="preserve">sells out (</w:t>
      </w:r>
      <w:r w:rsidDel="00000000" w:rsidR="00000000" w:rsidRPr="00000000">
        <w:rPr>
          <w:i w:val="1"/>
          <w:rtl w:val="0"/>
        </w:rPr>
        <w:t xml:space="preserve">pp. 33 What happens...</w:t>
      </w:r>
      <w:r w:rsidDel="00000000" w:rsidR="00000000" w:rsidRPr="00000000">
        <w:rPr>
          <w:rtl w:val="0"/>
        </w:rPr>
        <w:t xml:space="preserve">). </w:t>
      </w:r>
    </w:p>
    <w:p w:rsidR="00000000" w:rsidDel="00000000" w:rsidP="00000000" w:rsidRDefault="00000000" w:rsidRPr="00000000" w14:paraId="0000006F">
      <w:pPr>
        <w:numPr>
          <w:ilvl w:val="1"/>
          <w:numId w:val="2"/>
        </w:numPr>
        <w:ind w:left="2160" w:hanging="360"/>
        <w:rPr/>
      </w:pPr>
      <w:r w:rsidDel="00000000" w:rsidR="00000000" w:rsidRPr="00000000">
        <w:rPr>
          <w:rtl w:val="0"/>
        </w:rPr>
        <w:t xml:space="preserve">Under the terms of some partnership agreements, syndicators or investors may be able to insist on a third-party sale if they believe the property has value, even with extended use restrictions, in excess of its outstanding debt and more than the price the GP is willing to pay (</w:t>
      </w:r>
      <w:r w:rsidDel="00000000" w:rsidR="00000000" w:rsidRPr="00000000">
        <w:rPr>
          <w:i w:val="1"/>
          <w:rtl w:val="0"/>
        </w:rPr>
        <w:t xml:space="preserve">pp. 33 What happens...</w:t>
      </w:r>
      <w:r w:rsidDel="00000000" w:rsidR="00000000" w:rsidRPr="00000000">
        <w:rPr>
          <w:rtl w:val="0"/>
        </w:rPr>
        <w:t xml:space="preserve">)</w:t>
      </w:r>
    </w:p>
    <w:p w:rsidR="00000000" w:rsidDel="00000000" w:rsidP="00000000" w:rsidRDefault="00000000" w:rsidRPr="00000000" w14:paraId="00000070">
      <w:pPr>
        <w:ind w:left="2160" w:firstLine="0"/>
        <w:rPr/>
      </w:pPr>
      <w:r w:rsidDel="00000000" w:rsidR="00000000" w:rsidRPr="00000000">
        <w:rPr>
          <w:rtl w:val="0"/>
        </w:rPr>
      </w:r>
    </w:p>
    <w:p w:rsidR="00000000" w:rsidDel="00000000" w:rsidP="00000000" w:rsidRDefault="00000000" w:rsidRPr="00000000" w14:paraId="00000071">
      <w:pPr>
        <w:numPr>
          <w:ilvl w:val="0"/>
          <w:numId w:val="2"/>
        </w:numPr>
        <w:ind w:left="1440" w:hanging="360"/>
      </w:pPr>
      <w:r w:rsidDel="00000000" w:rsidR="00000000" w:rsidRPr="00000000">
        <w:rPr>
          <w:b w:val="1"/>
          <w:rtl w:val="0"/>
        </w:rPr>
        <w:t xml:space="preserve">“Cash-out” </w:t>
      </w:r>
      <w:r w:rsidDel="00000000" w:rsidR="00000000" w:rsidRPr="00000000">
        <w:rPr>
          <w:rtl w:val="0"/>
        </w:rPr>
        <w:t xml:space="preserve">(to pay for LP’s Exit)</w:t>
      </w:r>
      <w:r w:rsidDel="00000000" w:rsidR="00000000" w:rsidRPr="00000000">
        <w:rPr>
          <w:rtl w:val="0"/>
        </w:rPr>
        <w:t xml:space="preserve">: </w:t>
      </w:r>
      <w:r w:rsidDel="00000000" w:rsidR="00000000" w:rsidRPr="00000000">
        <w:rPr>
          <w:color w:val="a61c00"/>
          <w:rtl w:val="0"/>
        </w:rPr>
        <w:t xml:space="preserve">Spike around LP’s exit (year 15)</w:t>
      </w:r>
    </w:p>
    <w:p w:rsidR="00000000" w:rsidDel="00000000" w:rsidP="00000000" w:rsidRDefault="00000000" w:rsidRPr="00000000" w14:paraId="00000072">
      <w:pPr>
        <w:numPr>
          <w:ilvl w:val="1"/>
          <w:numId w:val="2"/>
        </w:numPr>
        <w:ind w:left="2160" w:hanging="360"/>
      </w:pPr>
      <w:r w:rsidDel="00000000" w:rsidR="00000000" w:rsidRPr="00000000">
        <w:rPr>
          <w:rtl w:val="0"/>
        </w:rPr>
        <w:t xml:space="preserve">The GP refinanced in order to buy out the LPs (</w:t>
      </w:r>
      <w:r w:rsidDel="00000000" w:rsidR="00000000" w:rsidRPr="00000000">
        <w:rPr>
          <w:i w:val="1"/>
          <w:rtl w:val="0"/>
        </w:rPr>
        <w:t xml:space="preserve">pp. 50 What happens...</w:t>
      </w:r>
      <w:r w:rsidDel="00000000" w:rsidR="00000000" w:rsidRPr="00000000">
        <w:rPr>
          <w:rtl w:val="0"/>
        </w:rPr>
        <w:t xml:space="preserve">). the GP refinances at the same time as buying out the investors in the original syndication, because cash beyond the current mortgage is needed to meet the syndicator/LPs’ price (</w:t>
      </w:r>
      <w:r w:rsidDel="00000000" w:rsidR="00000000" w:rsidRPr="00000000">
        <w:rPr>
          <w:i w:val="1"/>
          <w:rtl w:val="0"/>
        </w:rPr>
        <w:t xml:space="preserve">pp. 51 What happens...</w:t>
      </w:r>
      <w:r w:rsidDel="00000000" w:rsidR="00000000" w:rsidRPr="00000000">
        <w:rPr>
          <w:rtl w:val="0"/>
        </w:rPr>
        <w:t xml:space="preserve">).</w:t>
      </w:r>
    </w:p>
    <w:p w:rsidR="00000000" w:rsidDel="00000000" w:rsidP="00000000" w:rsidRDefault="00000000" w:rsidRPr="00000000" w14:paraId="00000073">
      <w:pPr>
        <w:ind w:left="2160" w:firstLine="0"/>
        <w:rPr/>
      </w:pPr>
      <w:r w:rsidDel="00000000" w:rsidR="00000000" w:rsidRPr="00000000">
        <w:rPr>
          <w:rtl w:val="0"/>
        </w:rPr>
      </w:r>
    </w:p>
    <w:p w:rsidR="00000000" w:rsidDel="00000000" w:rsidP="00000000" w:rsidRDefault="00000000" w:rsidRPr="00000000" w14:paraId="00000074">
      <w:pPr>
        <w:numPr>
          <w:ilvl w:val="0"/>
          <w:numId w:val="2"/>
        </w:numPr>
        <w:ind w:left="1440" w:hanging="360"/>
        <w:rPr>
          <w:u w:val="none"/>
        </w:rPr>
      </w:pPr>
      <w:r w:rsidDel="00000000" w:rsidR="00000000" w:rsidRPr="00000000">
        <w:rPr>
          <w:b w:val="1"/>
          <w:rtl w:val="0"/>
        </w:rPr>
        <w:t xml:space="preserve">Refi </w:t>
      </w:r>
      <w:r w:rsidDel="00000000" w:rsidR="00000000" w:rsidRPr="00000000">
        <w:rPr>
          <w:rtl w:val="0"/>
        </w:rPr>
        <w:t xml:space="preserve">(for renovation): </w:t>
      </w:r>
      <w:r w:rsidDel="00000000" w:rsidR="00000000" w:rsidRPr="00000000">
        <w:rPr>
          <w:color w:val="a61c00"/>
          <w:rtl w:val="0"/>
        </w:rPr>
        <w:t xml:space="preserve">Not clear if the ramp differs from normal GPL loans.</w:t>
      </w:r>
    </w:p>
    <w:p w:rsidR="00000000" w:rsidDel="00000000" w:rsidP="00000000" w:rsidRDefault="00000000" w:rsidRPr="00000000" w14:paraId="00000075">
      <w:pPr>
        <w:numPr>
          <w:ilvl w:val="1"/>
          <w:numId w:val="2"/>
        </w:numPr>
        <w:ind w:left="2160" w:hanging="360"/>
      </w:pPr>
      <w:r w:rsidDel="00000000" w:rsidR="00000000" w:rsidRPr="00000000">
        <w:rPr>
          <w:rtl w:val="0"/>
        </w:rPr>
        <w:t xml:space="preserve">Both continuing and new owners typically </w:t>
      </w:r>
      <w:r w:rsidDel="00000000" w:rsidR="00000000" w:rsidRPr="00000000">
        <w:rPr>
          <w:b w:val="1"/>
          <w:rtl w:val="0"/>
        </w:rPr>
        <w:t xml:space="preserve">refinance </w:t>
      </w:r>
      <w:r w:rsidDel="00000000" w:rsidR="00000000" w:rsidRPr="00000000">
        <w:rPr>
          <w:rtl w:val="0"/>
        </w:rPr>
        <w:t xml:space="preserve">at Year 15, and low interest rates have enabled them to fund modest </w:t>
      </w:r>
      <w:r w:rsidDel="00000000" w:rsidR="00000000" w:rsidRPr="00000000">
        <w:rPr>
          <w:b w:val="1"/>
          <w:rtl w:val="0"/>
        </w:rPr>
        <w:t xml:space="preserve">renovations </w:t>
      </w:r>
      <w:r w:rsidDel="00000000" w:rsidR="00000000" w:rsidRPr="00000000">
        <w:rPr>
          <w:rtl w:val="0"/>
        </w:rPr>
        <w:t xml:space="preserve">at Year 15 without recapitalizing with new tax credits (</w:t>
      </w:r>
      <w:r w:rsidDel="00000000" w:rsidR="00000000" w:rsidRPr="00000000">
        <w:rPr>
          <w:i w:val="1"/>
          <w:rtl w:val="0"/>
        </w:rPr>
        <w:t xml:space="preserve">pp.xv What happens...</w:t>
      </w:r>
      <w:r w:rsidDel="00000000" w:rsidR="00000000" w:rsidRPr="00000000">
        <w:rPr>
          <w:rtl w:val="0"/>
        </w:rPr>
        <w:t xml:space="preserve">).</w:t>
      </w:r>
    </w:p>
    <w:p w:rsidR="00000000" w:rsidDel="00000000" w:rsidP="00000000" w:rsidRDefault="00000000" w:rsidRPr="00000000" w14:paraId="00000076">
      <w:pPr>
        <w:ind w:left="2160" w:firstLine="0"/>
        <w:rPr/>
      </w:pPr>
      <w:r w:rsidDel="00000000" w:rsidR="00000000" w:rsidRPr="00000000">
        <w:rPr>
          <w:rtl w:val="0"/>
        </w:rPr>
      </w:r>
    </w:p>
    <w:p w:rsidR="00000000" w:rsidDel="00000000" w:rsidP="00000000" w:rsidRDefault="00000000" w:rsidRPr="00000000" w14:paraId="00000077">
      <w:pPr>
        <w:numPr>
          <w:ilvl w:val="0"/>
          <w:numId w:val="2"/>
        </w:numPr>
        <w:ind w:left="1440" w:hanging="360"/>
      </w:pPr>
      <w:r w:rsidDel="00000000" w:rsidR="00000000" w:rsidRPr="00000000">
        <w:rPr>
          <w:b w:val="1"/>
          <w:rtl w:val="0"/>
        </w:rPr>
        <w:t xml:space="preserve">Combined Effect </w:t>
      </w:r>
      <w:r w:rsidDel="00000000" w:rsidR="00000000" w:rsidRPr="00000000">
        <w:rPr>
          <w:b w:val="1"/>
          <w:rtl w:val="0"/>
        </w:rPr>
        <w:t xml:space="preserve">From Data</w:t>
      </w:r>
      <w:r w:rsidDel="00000000" w:rsidR="00000000" w:rsidRPr="00000000">
        <w:rPr>
          <w:rtl w:val="0"/>
        </w:rPr>
        <w:t xml:space="preserve">:</w:t>
      </w:r>
    </w:p>
    <w:p w:rsidR="00000000" w:rsidDel="00000000" w:rsidP="00000000" w:rsidRDefault="00000000" w:rsidRPr="00000000" w14:paraId="00000078">
      <w:pPr>
        <w:numPr>
          <w:ilvl w:val="1"/>
          <w:numId w:val="2"/>
        </w:numPr>
        <w:ind w:left="2160" w:hanging="360"/>
      </w:pPr>
      <w:commentRangeStart w:id="1"/>
      <w:commentRangeStart w:id="2"/>
      <w:r w:rsidDel="00000000" w:rsidR="00000000" w:rsidRPr="00000000">
        <w:rPr>
          <w:sz w:val="18"/>
          <w:szCs w:val="18"/>
          <w:rtl w:val="0"/>
        </w:rPr>
        <w:t xml:space="preserve">Dataset #4: Actual CRR vs Years Since Receiving TC (filters: Negative Penalty-Adjusted Incentive)</w:t>
      </w:r>
      <w:r w:rsidDel="00000000" w:rsidR="00000000" w:rsidRPr="00000000">
        <w:rPr/>
        <w:drawing>
          <wp:inline distB="114300" distT="114300" distL="114300" distR="114300">
            <wp:extent cx="4548188" cy="2456313"/>
            <wp:effectExtent b="0" l="0" r="0" t="0"/>
            <wp:docPr id="17"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4548188" cy="2456313"/>
                    </a:xfrm>
                    <a:prstGeom prst="rect"/>
                    <a:ln/>
                  </pic:spPr>
                </pic:pic>
              </a:graphicData>
            </a:graphic>
          </wp:inline>
        </w:drawing>
      </w:r>
      <w:commentRangeEnd w:id="1"/>
      <w:r w:rsidDel="00000000" w:rsidR="00000000" w:rsidRPr="00000000">
        <w:commentReference w:id="1"/>
      </w:r>
      <w:commentRangeEnd w:id="2"/>
      <w:r w:rsidDel="00000000" w:rsidR="00000000" w:rsidRPr="00000000">
        <w:commentReference w:id="2"/>
      </w:r>
      <w:commentRangeStart w:id="3"/>
      <w:commentRangeStart w:id="4"/>
      <w:commentRangeStart w:id="5"/>
      <w:r w:rsidDel="00000000" w:rsidR="00000000" w:rsidRPr="00000000">
        <w:rPr>
          <w:rtl w:val="0"/>
        </w:rPr>
      </w:r>
    </w:p>
    <w:p w:rsidR="00000000" w:rsidDel="00000000" w:rsidP="00000000" w:rsidRDefault="00000000" w:rsidRPr="00000000" w14:paraId="00000079">
      <w:pPr>
        <w:ind w:left="2160" w:firstLine="0"/>
        <w:rPr/>
      </w:pP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color w:val="4a86e8"/>
        </w:rPr>
      </w:pPr>
      <w:r w:rsidDel="00000000" w:rsidR="00000000" w:rsidRPr="00000000">
        <w:rPr>
          <w:b w:val="1"/>
          <w:i w:val="1"/>
          <w:color w:val="4a86e8"/>
          <w:rtl w:val="0"/>
        </w:rPr>
        <w:t xml:space="preserve">Difference between For-Profit / Non-Profit properties:</w:t>
      </w:r>
      <w:r w:rsidDel="00000000" w:rsidR="00000000" w:rsidRPr="00000000">
        <w:rPr>
          <w:rtl w:val="0"/>
        </w:rPr>
      </w:r>
    </w:p>
    <w:p w:rsidR="00000000" w:rsidDel="00000000" w:rsidP="00000000" w:rsidRDefault="00000000" w:rsidRPr="00000000" w14:paraId="0000007C">
      <w:pPr>
        <w:numPr>
          <w:ilvl w:val="0"/>
          <w:numId w:val="5"/>
        </w:numPr>
        <w:ind w:left="720" w:hanging="360"/>
      </w:pPr>
      <w:r w:rsidDel="00000000" w:rsidR="00000000" w:rsidRPr="00000000">
        <w:rPr>
          <w:b w:val="1"/>
          <w:rtl w:val="0"/>
        </w:rPr>
        <w:t xml:space="preserve">Incentive-driven Prepay </w:t>
      </w:r>
      <w:r w:rsidDel="00000000" w:rsidR="00000000" w:rsidRPr="00000000">
        <w:rPr>
          <w:rtl w:val="0"/>
        </w:rPr>
        <w:t xml:space="preserve">(Refi):</w:t>
      </w:r>
    </w:p>
    <w:p w:rsidR="00000000" w:rsidDel="00000000" w:rsidP="00000000" w:rsidRDefault="00000000" w:rsidRPr="00000000" w14:paraId="0000007D">
      <w:pPr>
        <w:numPr>
          <w:ilvl w:val="1"/>
          <w:numId w:val="5"/>
        </w:numPr>
        <w:ind w:left="1440" w:hanging="360"/>
        <w:rPr>
          <w:u w:val="none"/>
        </w:rPr>
      </w:pPr>
      <w:r w:rsidDel="00000000" w:rsidR="00000000" w:rsidRPr="00000000">
        <w:rPr>
          <w:b w:val="1"/>
          <w:rtl w:val="0"/>
        </w:rPr>
        <w:t xml:space="preserve">Refi</w:t>
      </w:r>
      <w:r w:rsidDel="00000000" w:rsidR="00000000" w:rsidRPr="00000000">
        <w:rPr>
          <w:rtl w:val="0"/>
        </w:rPr>
        <w:t xml:space="preserve">: No evidence or obvious data pattern observed suggesting different refi behavior between the two.</w:t>
      </w:r>
    </w:p>
    <w:p w:rsidR="00000000" w:rsidDel="00000000" w:rsidP="00000000" w:rsidRDefault="00000000" w:rsidRPr="00000000" w14:paraId="0000007E">
      <w:pPr>
        <w:numPr>
          <w:ilvl w:val="1"/>
          <w:numId w:val="5"/>
        </w:numPr>
        <w:ind w:left="1440" w:hanging="360"/>
      </w:pPr>
      <w:r w:rsidDel="00000000" w:rsidR="00000000" w:rsidRPr="00000000">
        <w:rPr>
          <w:b w:val="1"/>
          <w:rtl w:val="0"/>
        </w:rPr>
        <w:t xml:space="preserve">Data Overview</w:t>
      </w:r>
      <w:r w:rsidDel="00000000" w:rsidR="00000000" w:rsidRPr="00000000">
        <w:rPr>
          <w:rtl w:val="0"/>
        </w:rPr>
        <w:t xml:space="preserve"> (</w:t>
      </w:r>
      <w:r w:rsidDel="00000000" w:rsidR="00000000" w:rsidRPr="00000000">
        <w:rPr>
          <w:i w:val="1"/>
          <w:sz w:val="20"/>
          <w:szCs w:val="20"/>
          <w:rtl w:val="0"/>
        </w:rPr>
        <w:t xml:space="preserve">filters: penalty-adjusted Incentive &gt;= 0</w:t>
      </w:r>
      <w:r w:rsidDel="00000000" w:rsidR="00000000" w:rsidRPr="00000000">
        <w:rPr>
          <w:rtl w:val="0"/>
        </w:rPr>
        <w:t xml:space="preserve">):</w:t>
      </w:r>
    </w:p>
    <w:p w:rsidR="00000000" w:rsidDel="00000000" w:rsidP="00000000" w:rsidRDefault="00000000" w:rsidRPr="00000000" w14:paraId="0000007F">
      <w:pPr>
        <w:numPr>
          <w:ilvl w:val="2"/>
          <w:numId w:val="5"/>
        </w:numPr>
        <w:ind w:left="2160" w:hanging="360"/>
      </w:pPr>
      <w:r w:rsidDel="00000000" w:rsidR="00000000" w:rsidRPr="00000000">
        <w:rPr>
          <w:rtl w:val="0"/>
        </w:rPr>
        <w:t xml:space="preserve">Dataset #5 (Non-Profit):</w:t>
      </w:r>
      <w:r w:rsidDel="00000000" w:rsidR="00000000" w:rsidRPr="00000000">
        <w:rPr/>
        <w:drawing>
          <wp:inline distB="114300" distT="114300" distL="114300" distR="114300">
            <wp:extent cx="4289652" cy="2309813"/>
            <wp:effectExtent b="0" l="0" r="0" t="0"/>
            <wp:docPr id="1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289652" cy="2309813"/>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numPr>
          <w:ilvl w:val="2"/>
          <w:numId w:val="5"/>
        </w:numPr>
        <w:ind w:left="2160" w:hanging="360"/>
      </w:pPr>
      <w:r w:rsidDel="00000000" w:rsidR="00000000" w:rsidRPr="00000000">
        <w:rPr>
          <w:rtl w:val="0"/>
        </w:rPr>
        <w:t xml:space="preserve">Dataset #6 (For-Profit):</w:t>
      </w:r>
      <w:r w:rsidDel="00000000" w:rsidR="00000000" w:rsidRPr="00000000">
        <w:rPr/>
        <w:drawing>
          <wp:inline distB="114300" distT="114300" distL="114300" distR="114300">
            <wp:extent cx="4281488" cy="2284832"/>
            <wp:effectExtent b="0" l="0" r="0" t="0"/>
            <wp:docPr id="12"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4281488" cy="2284832"/>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ind w:left="2160" w:firstLine="0"/>
        <w:rPr/>
      </w:pPr>
      <w:r w:rsidDel="00000000" w:rsidR="00000000" w:rsidRPr="00000000">
        <w:rPr>
          <w:rtl w:val="0"/>
        </w:rPr>
      </w:r>
    </w:p>
    <w:p w:rsidR="00000000" w:rsidDel="00000000" w:rsidP="00000000" w:rsidRDefault="00000000" w:rsidRPr="00000000" w14:paraId="00000082">
      <w:pPr>
        <w:numPr>
          <w:ilvl w:val="0"/>
          <w:numId w:val="5"/>
        </w:numPr>
        <w:ind w:left="720" w:hanging="360"/>
      </w:pPr>
      <w:r w:rsidDel="00000000" w:rsidR="00000000" w:rsidRPr="00000000">
        <w:rPr>
          <w:b w:val="1"/>
          <w:rtl w:val="0"/>
        </w:rPr>
        <w:t xml:space="preserve">Non-incentive-driven Prepay:</w:t>
      </w:r>
    </w:p>
    <w:p w:rsidR="00000000" w:rsidDel="00000000" w:rsidP="00000000" w:rsidRDefault="00000000" w:rsidRPr="00000000" w14:paraId="00000083">
      <w:pPr>
        <w:numPr>
          <w:ilvl w:val="1"/>
          <w:numId w:val="5"/>
        </w:numPr>
        <w:ind w:left="1440" w:hanging="360"/>
        <w:rPr>
          <w:b w:val="1"/>
        </w:rPr>
      </w:pPr>
      <w:r w:rsidDel="00000000" w:rsidR="00000000" w:rsidRPr="00000000">
        <w:rPr>
          <w:b w:val="1"/>
          <w:rtl w:val="0"/>
        </w:rPr>
        <w:t xml:space="preserve">Data Overview: </w:t>
      </w:r>
      <w:r w:rsidDel="00000000" w:rsidR="00000000" w:rsidRPr="00000000">
        <w:rPr>
          <w:rtl w:val="0"/>
        </w:rPr>
        <w:t xml:space="preserve">(</w:t>
      </w:r>
      <w:r w:rsidDel="00000000" w:rsidR="00000000" w:rsidRPr="00000000">
        <w:rPr>
          <w:i w:val="1"/>
          <w:rtl w:val="0"/>
        </w:rPr>
        <w:t xml:space="preserve">filters: </w:t>
      </w:r>
      <w:r w:rsidDel="00000000" w:rsidR="00000000" w:rsidRPr="00000000">
        <w:rPr>
          <w:i w:val="1"/>
          <w:sz w:val="20"/>
          <w:szCs w:val="20"/>
          <w:rtl w:val="0"/>
        </w:rPr>
        <w:t xml:space="preserve">penalty-adjusted Incentive &lt;= 0</w:t>
      </w:r>
      <w:r w:rsidDel="00000000" w:rsidR="00000000" w:rsidRPr="00000000">
        <w:rPr>
          <w:rtl w:val="0"/>
        </w:rPr>
        <w:t xml:space="preserve">)</w:t>
      </w:r>
    </w:p>
    <w:p w:rsidR="00000000" w:rsidDel="00000000" w:rsidP="00000000" w:rsidRDefault="00000000" w:rsidRPr="00000000" w14:paraId="00000084">
      <w:pPr>
        <w:numPr>
          <w:ilvl w:val="2"/>
          <w:numId w:val="5"/>
        </w:numPr>
        <w:ind w:left="2160" w:hanging="360"/>
      </w:pPr>
      <w:r w:rsidDel="00000000" w:rsidR="00000000" w:rsidRPr="00000000">
        <w:rPr>
          <w:rtl w:val="0"/>
        </w:rPr>
        <w:t xml:space="preserve">Dataset #5 (Non-Profit):</w:t>
      </w:r>
      <w:r w:rsidDel="00000000" w:rsidR="00000000" w:rsidRPr="00000000">
        <w:rPr/>
        <w:drawing>
          <wp:inline distB="114300" distT="114300" distL="114300" distR="114300">
            <wp:extent cx="4186238" cy="2239363"/>
            <wp:effectExtent b="0" l="0" r="0" t="0"/>
            <wp:docPr id="18"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4186238" cy="2239363"/>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numPr>
          <w:ilvl w:val="2"/>
          <w:numId w:val="5"/>
        </w:numPr>
        <w:ind w:left="2160" w:hanging="360"/>
      </w:pPr>
      <w:r w:rsidDel="00000000" w:rsidR="00000000" w:rsidRPr="00000000">
        <w:rPr>
          <w:rtl w:val="0"/>
        </w:rPr>
        <w:t xml:space="preserve">Dataset #6 (For-Profit):</w:t>
      </w:r>
      <w:r w:rsidDel="00000000" w:rsidR="00000000" w:rsidRPr="00000000">
        <w:rPr/>
        <w:drawing>
          <wp:inline distB="114300" distT="114300" distL="114300" distR="114300">
            <wp:extent cx="4195763" cy="2219633"/>
            <wp:effectExtent b="0" l="0" r="0" t="0"/>
            <wp:docPr id="16"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195763" cy="2219633"/>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numPr>
          <w:ilvl w:val="1"/>
          <w:numId w:val="5"/>
        </w:numPr>
        <w:ind w:left="1440" w:hanging="360"/>
        <w:rPr>
          <w:b w:val="1"/>
        </w:rPr>
      </w:pPr>
      <w:r w:rsidDel="00000000" w:rsidR="00000000" w:rsidRPr="00000000">
        <w:rPr>
          <w:b w:val="1"/>
          <w:rtl w:val="0"/>
        </w:rPr>
        <w:t xml:space="preserve">Turnover: </w:t>
      </w:r>
      <w:r w:rsidDel="00000000" w:rsidR="00000000" w:rsidRPr="00000000">
        <w:rPr>
          <w:color w:val="a61c00"/>
          <w:rtl w:val="0"/>
        </w:rPr>
        <w:t xml:space="preserve">Non-profit owners will have a much lower turnover CPR than for-profit buyers.</w:t>
      </w:r>
    </w:p>
    <w:p w:rsidR="00000000" w:rsidDel="00000000" w:rsidP="00000000" w:rsidRDefault="00000000" w:rsidRPr="00000000" w14:paraId="00000087">
      <w:pPr>
        <w:numPr>
          <w:ilvl w:val="2"/>
          <w:numId w:val="5"/>
        </w:numPr>
        <w:ind w:left="2160" w:hanging="360"/>
      </w:pPr>
      <w:commentRangeStart w:id="6"/>
      <w:commentRangeStart w:id="7"/>
      <w:r w:rsidDel="00000000" w:rsidR="00000000" w:rsidRPr="00000000">
        <w:rPr>
          <w:rtl w:val="0"/>
        </w:rPr>
        <w:t xml:space="preserve">Almost always these are for-profit owners selling to for-profit buyers (pp.xiii). Only rarely do nonprofit owners sell their properties (</w:t>
      </w:r>
      <w:r w:rsidDel="00000000" w:rsidR="00000000" w:rsidRPr="00000000">
        <w:rPr>
          <w:i w:val="1"/>
          <w:rtl w:val="0"/>
        </w:rPr>
        <w:t xml:space="preserve">pp.34 </w:t>
      </w:r>
      <w:commentRangeEnd w:id="6"/>
      <w:r w:rsidDel="00000000" w:rsidR="00000000" w:rsidRPr="00000000">
        <w:commentReference w:id="6"/>
      </w:r>
      <w:commentRangeEnd w:id="7"/>
      <w:r w:rsidDel="00000000" w:rsidR="00000000" w:rsidRPr="00000000">
        <w:commentReference w:id="7"/>
      </w:r>
      <w:r w:rsidDel="00000000" w:rsidR="00000000" w:rsidRPr="00000000">
        <w:rPr>
          <w:i w:val="1"/>
          <w:rtl w:val="0"/>
        </w:rPr>
        <w:t xml:space="preserve">What happens…</w:t>
      </w:r>
      <w:r w:rsidDel="00000000" w:rsidR="00000000" w:rsidRPr="00000000">
        <w:rPr>
          <w:rtl w:val="0"/>
        </w:rPr>
        <w:t xml:space="preserve">).</w:t>
      </w:r>
      <w:r w:rsidDel="00000000" w:rsidR="00000000" w:rsidRPr="00000000">
        <w:rPr>
          <w:rtl w:val="0"/>
        </w:rPr>
        <w:t xml:space="preserve"> Mission-driven owners—most nonprofit project sponsors, as well as some for-profit organizations—have an organizational plan that is to develop and own affordable housing long term (</w:t>
      </w:r>
      <w:r w:rsidDel="00000000" w:rsidR="00000000" w:rsidRPr="00000000">
        <w:rPr>
          <w:i w:val="1"/>
          <w:rtl w:val="0"/>
        </w:rPr>
        <w:t xml:space="preserve">pp.32 What happens…</w:t>
      </w:r>
      <w:r w:rsidDel="00000000" w:rsidR="00000000" w:rsidRPr="00000000">
        <w:rPr>
          <w:rtl w:val="0"/>
        </w:rPr>
        <w:t xml:space="preserve">).</w:t>
      </w:r>
    </w:p>
    <w:p w:rsidR="00000000" w:rsidDel="00000000" w:rsidP="00000000" w:rsidRDefault="00000000" w:rsidRPr="00000000" w14:paraId="00000088">
      <w:pPr>
        <w:ind w:left="2160" w:firstLine="0"/>
        <w:rPr/>
      </w:pPr>
      <w:r w:rsidDel="00000000" w:rsidR="00000000" w:rsidRPr="00000000">
        <w:rPr>
          <w:rtl w:val="0"/>
        </w:rPr>
      </w:r>
    </w:p>
    <w:p w:rsidR="00000000" w:rsidDel="00000000" w:rsidP="00000000" w:rsidRDefault="00000000" w:rsidRPr="00000000" w14:paraId="00000089">
      <w:pPr>
        <w:numPr>
          <w:ilvl w:val="2"/>
          <w:numId w:val="5"/>
        </w:numPr>
        <w:ind w:left="2160" w:hanging="360"/>
      </w:pPr>
      <w:r w:rsidDel="00000000" w:rsidR="00000000" w:rsidRPr="00000000">
        <w:rPr>
          <w:rtl w:val="0"/>
        </w:rPr>
        <w:t xml:space="preserve">Data Comparison (</w:t>
      </w:r>
      <w:r w:rsidDel="00000000" w:rsidR="00000000" w:rsidRPr="00000000">
        <w:rPr>
          <w:i w:val="1"/>
          <w:sz w:val="20"/>
          <w:szCs w:val="20"/>
          <w:rtl w:val="0"/>
        </w:rPr>
        <w:t xml:space="preserve">filters: Before year 12, penalty-adjusted Incentive &lt;= 0</w:t>
      </w:r>
      <w:r w:rsidDel="00000000" w:rsidR="00000000" w:rsidRPr="00000000">
        <w:rPr>
          <w:rtl w:val="0"/>
        </w:rPr>
        <w:t xml:space="preserve">):</w:t>
      </w:r>
    </w:p>
    <w:p w:rsidR="00000000" w:rsidDel="00000000" w:rsidP="00000000" w:rsidRDefault="00000000" w:rsidRPr="00000000" w14:paraId="0000008A">
      <w:pPr>
        <w:numPr>
          <w:ilvl w:val="3"/>
          <w:numId w:val="5"/>
        </w:numPr>
        <w:ind w:left="2880" w:hanging="360"/>
      </w:pPr>
      <w:r w:rsidDel="00000000" w:rsidR="00000000" w:rsidRPr="00000000">
        <w:rPr>
          <w:rtl w:val="0"/>
        </w:rPr>
        <w:t xml:space="preserve">Dataset #5 (Non-Profit):</w:t>
      </w:r>
      <w:r w:rsidDel="00000000" w:rsidR="00000000" w:rsidRPr="00000000">
        <w:rPr/>
        <w:drawing>
          <wp:inline distB="114300" distT="114300" distL="114300" distR="114300">
            <wp:extent cx="4181475" cy="2119313"/>
            <wp:effectExtent b="0" l="0" r="0" t="0"/>
            <wp:docPr id="22"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4181475" cy="2119313"/>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numPr>
          <w:ilvl w:val="3"/>
          <w:numId w:val="5"/>
        </w:numPr>
        <w:ind w:left="2880" w:hanging="360"/>
      </w:pPr>
      <w:r w:rsidDel="00000000" w:rsidR="00000000" w:rsidRPr="00000000">
        <w:rPr>
          <w:rtl w:val="0"/>
        </w:rPr>
        <w:t xml:space="preserve">Dataset #6 (For-Profit):</w:t>
      </w:r>
      <w:r w:rsidDel="00000000" w:rsidR="00000000" w:rsidRPr="00000000">
        <w:rPr/>
        <w:drawing>
          <wp:inline distB="114300" distT="114300" distL="114300" distR="114300">
            <wp:extent cx="4157663" cy="2192101"/>
            <wp:effectExtent b="0" l="0" r="0" t="0"/>
            <wp:docPr id="4"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157663" cy="2192101"/>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8D">
      <w:pPr>
        <w:rPr>
          <w:b w:val="1"/>
          <w:sz w:val="28"/>
          <w:szCs w:val="28"/>
        </w:rPr>
      </w:pPr>
      <w:r w:rsidDel="00000000" w:rsidR="00000000" w:rsidRPr="00000000">
        <w:rPr>
          <w:b w:val="1"/>
          <w:sz w:val="28"/>
          <w:szCs w:val="28"/>
          <w:rtl w:val="0"/>
        </w:rPr>
        <w:t xml:space="preserve">Model:</w:t>
      </w:r>
    </w:p>
    <w:p w:rsidR="00000000" w:rsidDel="00000000" w:rsidP="00000000" w:rsidRDefault="00000000" w:rsidRPr="00000000" w14:paraId="0000008E">
      <w:pPr>
        <w:ind w:left="0" w:firstLine="0"/>
        <w:rPr>
          <w:b w:val="1"/>
          <w:sz w:val="28"/>
          <w:szCs w:val="28"/>
        </w:rPr>
      </w:pPr>
      <w:r w:rsidDel="00000000" w:rsidR="00000000" w:rsidRPr="00000000">
        <w:rPr>
          <w:b w:val="1"/>
          <w:i w:val="1"/>
          <w:color w:val="4a86e8"/>
          <w:rtl w:val="0"/>
        </w:rPr>
        <w:t xml:space="preserve">Method &amp; Parameters </w:t>
      </w:r>
      <w:r w:rsidDel="00000000" w:rsidR="00000000" w:rsidRPr="00000000">
        <w:rPr>
          <w:rtl w:val="0"/>
        </w:rPr>
      </w:r>
    </w:p>
    <w:p w:rsidR="00000000" w:rsidDel="00000000" w:rsidP="00000000" w:rsidRDefault="00000000" w:rsidRPr="00000000" w14:paraId="0000008F">
      <w:pPr>
        <w:ind w:left="0" w:firstLine="0"/>
        <w:rPr>
          <w:color w:val="85200c"/>
        </w:rPr>
      </w:pPr>
      <w:r w:rsidDel="00000000" w:rsidR="00000000" w:rsidRPr="00000000">
        <w:rPr>
          <w:b w:val="1"/>
          <w:color w:val="85200c"/>
          <w:rtl w:val="0"/>
        </w:rPr>
        <w:t xml:space="preserve">“Months Since Receiving TC”</w:t>
      </w:r>
      <w:r w:rsidDel="00000000" w:rsidR="00000000" w:rsidRPr="00000000">
        <w:rPr>
          <w:color w:val="85200c"/>
          <w:rtl w:val="0"/>
        </w:rPr>
        <w:t xml:space="preserve">: </w:t>
      </w:r>
    </w:p>
    <w:p w:rsidR="00000000" w:rsidDel="00000000" w:rsidP="00000000" w:rsidRDefault="00000000" w:rsidRPr="00000000" w14:paraId="00000090">
      <w:pPr>
        <w:ind w:left="0" w:firstLine="0"/>
        <w:rPr/>
      </w:pPr>
      <w:r w:rsidDel="00000000" w:rsidR="00000000" w:rsidRPr="00000000">
        <w:rPr>
          <w:rtl w:val="0"/>
        </w:rPr>
        <w:t xml:space="preserve">Based on the literature and data, we noticed that the depth into LIHTC (months since LIHTC) is an important parameter for predicting how loans with tax credit prepay, especially around year 15. </w:t>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b w:val="1"/>
          <w:i w:val="1"/>
          <w:rtl w:val="0"/>
        </w:rPr>
        <w:t xml:space="preserve">How to determine TC Start Date from indirect data: </w:t>
      </w:r>
      <w:r w:rsidDel="00000000" w:rsidR="00000000" w:rsidRPr="00000000">
        <w:rPr>
          <w:i w:val="1"/>
          <w:rtl w:val="0"/>
        </w:rPr>
        <w:t xml:space="preserve">Point 1(b) from </w:t>
      </w:r>
      <w:hyperlink r:id="rId22">
        <w:r w:rsidDel="00000000" w:rsidR="00000000" w:rsidRPr="00000000">
          <w:rPr>
            <w:b w:val="1"/>
            <w:i w:val="1"/>
            <w:color w:val="1155cc"/>
            <w:u w:val="single"/>
            <w:rtl w:val="0"/>
          </w:rPr>
          <w:t xml:space="preserve">https://docs.google.com/document/d/1X_z5mgsO7G507e3fWOaQzibnoeQCn6E8wZx7ydlbvIc/edit</w:t>
        </w:r>
      </w:hyperlink>
      <w:r w:rsidDel="00000000" w:rsidR="00000000" w:rsidRPr="00000000">
        <w:rPr>
          <w:rtl w:val="0"/>
        </w:rPr>
        <w:t xml:space="preserve">  </w:t>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i w:val="1"/>
          <w:color w:val="4a86e8"/>
          <w:rtl w:val="0"/>
        </w:rPr>
        <w:t xml:space="preserve">(//Todo) </w:t>
      </w:r>
      <w:r w:rsidDel="00000000" w:rsidR="00000000" w:rsidRPr="00000000">
        <w:rPr>
          <w:rtl w:val="0"/>
        </w:rPr>
        <w:t xml:space="preserve">For loans without “conversion date” information, </w:t>
      </w:r>
    </w:p>
    <w:p w:rsidR="00000000" w:rsidDel="00000000" w:rsidP="00000000" w:rsidRDefault="00000000" w:rsidRPr="00000000" w14:paraId="00000095">
      <w:pPr>
        <w:rPr>
          <w:i w:val="1"/>
          <w:color w:val="4a86e8"/>
        </w:rPr>
      </w:pPr>
      <w:r w:rsidDel="00000000" w:rsidR="00000000" w:rsidRPr="00000000">
        <w:rPr>
          <w:rtl w:val="0"/>
        </w:rPr>
      </w:r>
    </w:p>
    <w:p w:rsidR="00000000" w:rsidDel="00000000" w:rsidP="00000000" w:rsidRDefault="00000000" w:rsidRPr="00000000" w14:paraId="00000096">
      <w:pPr>
        <w:rPr>
          <w:i w:val="1"/>
          <w:color w:val="4a86e8"/>
        </w:rPr>
      </w:pPr>
      <w:r w:rsidDel="00000000" w:rsidR="00000000" w:rsidRPr="00000000">
        <w:rPr>
          <w:b w:val="1"/>
          <w:color w:val="a61c00"/>
          <w:rtl w:val="0"/>
        </w:rPr>
        <w:t xml:space="preserve">“Profit/Non-Profit” flag: </w:t>
      </w:r>
      <w:r w:rsidDel="00000000" w:rsidR="00000000" w:rsidRPr="00000000">
        <w:rPr>
          <w:i w:val="1"/>
          <w:color w:val="4a86e8"/>
          <w:rtl w:val="0"/>
        </w:rPr>
        <w:t xml:space="preserve">(//Todo)</w:t>
      </w:r>
    </w:p>
    <w:p w:rsidR="00000000" w:rsidDel="00000000" w:rsidP="00000000" w:rsidRDefault="00000000" w:rsidRPr="00000000" w14:paraId="00000097">
      <w:pPr>
        <w:ind w:left="0" w:firstLine="0"/>
        <w:rPr>
          <w:i w:val="1"/>
          <w:color w:val="4a86e8"/>
        </w:rPr>
      </w:pPr>
      <w:r w:rsidDel="00000000" w:rsidR="00000000" w:rsidRPr="00000000">
        <w:rPr>
          <w:rtl w:val="0"/>
        </w:rPr>
      </w:r>
    </w:p>
    <w:p w:rsidR="00000000" w:rsidDel="00000000" w:rsidP="00000000" w:rsidRDefault="00000000" w:rsidRPr="00000000" w14:paraId="00000098">
      <w:pPr>
        <w:ind w:left="0" w:firstLine="0"/>
        <w:rPr>
          <w:i w:val="1"/>
          <w:color w:val="4a86e8"/>
        </w:rPr>
      </w:pPr>
      <w:r w:rsidDel="00000000" w:rsidR="00000000" w:rsidRPr="00000000">
        <w:rPr>
          <w:b w:val="1"/>
          <w:i w:val="1"/>
          <w:color w:val="4a86e8"/>
          <w:rtl w:val="0"/>
        </w:rPr>
        <w:t xml:space="preserve">Model &amp; Tracking</w:t>
      </w:r>
      <w:r w:rsidDel="00000000" w:rsidR="00000000" w:rsidRPr="00000000">
        <w:rPr>
          <w:i w:val="1"/>
          <w:color w:val="4a86e8"/>
          <w:rtl w:val="0"/>
        </w:rPr>
        <w:t xml:space="preserve">:</w:t>
      </w:r>
    </w:p>
    <w:p w:rsidR="00000000" w:rsidDel="00000000" w:rsidP="00000000" w:rsidRDefault="00000000" w:rsidRPr="00000000" w14:paraId="00000099">
      <w:pPr>
        <w:numPr>
          <w:ilvl w:val="0"/>
          <w:numId w:val="6"/>
        </w:numPr>
        <w:ind w:left="720" w:hanging="360"/>
        <w:rPr>
          <w:color w:val="6aa84f"/>
        </w:rPr>
      </w:pPr>
      <w:r w:rsidDel="00000000" w:rsidR="00000000" w:rsidRPr="00000000">
        <w:rPr>
          <w:b w:val="1"/>
          <w:color w:val="6aa84f"/>
          <w:rtl w:val="0"/>
        </w:rPr>
        <w:t xml:space="preserve">Model A </w:t>
      </w:r>
      <w:r w:rsidDel="00000000" w:rsidR="00000000" w:rsidRPr="00000000">
        <w:rPr>
          <w:i w:val="1"/>
          <w:color w:val="6aa84f"/>
          <w:rtl w:val="0"/>
        </w:rPr>
        <w:t xml:space="preserve">(for loans with TC date or CL conversion date known)</w:t>
      </w:r>
      <w:r w:rsidDel="00000000" w:rsidR="00000000" w:rsidRPr="00000000">
        <w:rPr>
          <w:color w:val="6aa84f"/>
          <w:rtl w:val="0"/>
        </w:rPr>
        <w:t xml:space="preserve">:</w:t>
      </w:r>
    </w:p>
    <w:p w:rsidR="00000000" w:rsidDel="00000000" w:rsidP="00000000" w:rsidRDefault="00000000" w:rsidRPr="00000000" w14:paraId="0000009A">
      <w:pPr>
        <w:numPr>
          <w:ilvl w:val="1"/>
          <w:numId w:val="6"/>
        </w:numPr>
        <w:ind w:left="1440" w:hanging="360"/>
        <w:rPr>
          <w:u w:val="none"/>
        </w:rPr>
      </w:pPr>
      <w:r w:rsidDel="00000000" w:rsidR="00000000" w:rsidRPr="00000000">
        <w:rPr>
          <w:b w:val="1"/>
          <w:rtl w:val="0"/>
        </w:rPr>
        <w:t xml:space="preserve">Overview</w:t>
      </w:r>
      <w:r w:rsidDel="00000000" w:rsidR="00000000" w:rsidRPr="00000000">
        <w:rPr>
          <w:rtl w:val="0"/>
        </w:rPr>
        <w:t xml:space="preserve">:</w:t>
      </w:r>
    </w:p>
    <w:p w:rsidR="00000000" w:rsidDel="00000000" w:rsidP="00000000" w:rsidRDefault="00000000" w:rsidRPr="00000000" w14:paraId="0000009B">
      <w:pPr>
        <w:ind w:left="2160" w:firstLine="0"/>
        <w:rPr>
          <w:sz w:val="20"/>
          <w:szCs w:val="20"/>
        </w:rPr>
      </w:pPr>
      <w:r w:rsidDel="00000000" w:rsidR="00000000" w:rsidRPr="00000000">
        <w:rPr>
          <w:sz w:val="20"/>
          <w:szCs w:val="20"/>
          <w:rtl w:val="0"/>
        </w:rPr>
        <w:t xml:space="preserve">This accounts for </w:t>
      </w:r>
      <w:r w:rsidDel="00000000" w:rsidR="00000000" w:rsidRPr="00000000">
        <w:rPr>
          <w:b w:val="1"/>
          <w:sz w:val="20"/>
          <w:szCs w:val="20"/>
          <w:rtl w:val="0"/>
        </w:rPr>
        <w:t xml:space="preserve">81%</w:t>
      </w:r>
      <w:r w:rsidDel="00000000" w:rsidR="00000000" w:rsidRPr="00000000">
        <w:rPr>
          <w:sz w:val="20"/>
          <w:szCs w:val="20"/>
          <w:rtl w:val="0"/>
        </w:rPr>
        <w:t xml:space="preserve"> of all the loans with LIHTC.</w:t>
      </w:r>
    </w:p>
    <w:p w:rsidR="00000000" w:rsidDel="00000000" w:rsidP="00000000" w:rsidRDefault="00000000" w:rsidRPr="00000000" w14:paraId="0000009C">
      <w:pPr>
        <w:ind w:left="2160" w:firstLine="0"/>
        <w:rPr>
          <w:sz w:val="20"/>
          <w:szCs w:val="20"/>
        </w:rPr>
      </w:pPr>
      <w:r w:rsidDel="00000000" w:rsidR="00000000" w:rsidRPr="00000000">
        <w:rPr>
          <w:sz w:val="20"/>
          <w:szCs w:val="20"/>
          <w:rtl w:val="0"/>
        </w:rPr>
        <w:t xml:space="preserve">For this type of pools, the CL conversion Date tend to align with the TC start year (in years):</w:t>
      </w:r>
    </w:p>
    <w:p w:rsidR="00000000" w:rsidDel="00000000" w:rsidP="00000000" w:rsidRDefault="00000000" w:rsidRPr="00000000" w14:paraId="0000009D">
      <w:pPr>
        <w:ind w:left="2160" w:firstLine="0"/>
        <w:rPr/>
      </w:pPr>
      <w:r w:rsidDel="00000000" w:rsidR="00000000" w:rsidRPr="00000000">
        <w:rPr/>
        <w:drawing>
          <wp:inline distB="114300" distT="114300" distL="114300" distR="114300">
            <wp:extent cx="3319463" cy="2212975"/>
            <wp:effectExtent b="0" l="0" r="0" t="0"/>
            <wp:docPr id="15"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3319463" cy="221297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numPr>
          <w:ilvl w:val="1"/>
          <w:numId w:val="6"/>
        </w:numPr>
        <w:ind w:left="1440" w:hanging="360"/>
        <w:rPr>
          <w:u w:val="none"/>
        </w:rPr>
      </w:pPr>
      <w:r w:rsidDel="00000000" w:rsidR="00000000" w:rsidRPr="00000000">
        <w:rPr>
          <w:rtl w:val="0"/>
        </w:rPr>
      </w:r>
    </w:p>
    <w:p w:rsidR="00000000" w:rsidDel="00000000" w:rsidP="00000000" w:rsidRDefault="00000000" w:rsidRPr="00000000" w14:paraId="000000A1">
      <w:pPr>
        <w:numPr>
          <w:ilvl w:val="1"/>
          <w:numId w:val="6"/>
        </w:numPr>
        <w:ind w:left="1440" w:hanging="360"/>
      </w:pPr>
      <w:r w:rsidDel="00000000" w:rsidR="00000000" w:rsidRPr="00000000">
        <w:rPr>
          <w:b w:val="1"/>
          <w:rtl w:val="0"/>
        </w:rPr>
        <w:t xml:space="preserve">Model multipliers </w:t>
      </w:r>
      <w:r w:rsidDel="00000000" w:rsidR="00000000" w:rsidRPr="00000000">
        <w:rPr>
          <w:rtl w:val="0"/>
        </w:rPr>
        <w:t xml:space="preserve">(months since CL conversion or TC start):</w:t>
      </w:r>
      <w:r w:rsidDel="00000000" w:rsidR="00000000" w:rsidRPr="00000000">
        <w:rPr/>
        <w:drawing>
          <wp:inline distB="114300" distT="114300" distL="114300" distR="114300">
            <wp:extent cx="2500313" cy="1788545"/>
            <wp:effectExtent b="0" l="0" r="0" t="0"/>
            <wp:docPr id="7"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2500313" cy="178854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numPr>
          <w:ilvl w:val="1"/>
          <w:numId w:val="6"/>
        </w:numPr>
        <w:ind w:left="1440" w:hanging="360"/>
        <w:rPr>
          <w:u w:val="none"/>
        </w:rPr>
      </w:pPr>
      <w:r w:rsidDel="00000000" w:rsidR="00000000" w:rsidRPr="00000000">
        <w:rPr>
          <w:b w:val="1"/>
          <w:rtl w:val="0"/>
        </w:rPr>
        <w:t xml:space="preserve">Tracking </w:t>
      </w:r>
      <w:r w:rsidDel="00000000" w:rsidR="00000000" w:rsidRPr="00000000">
        <w:rPr>
          <w:rtl w:val="0"/>
        </w:rPr>
        <w:t xml:space="preserve">(Factor Date &gt;= Feb 2016):</w:t>
      </w:r>
    </w:p>
    <w:p w:rsidR="00000000" w:rsidDel="00000000" w:rsidP="00000000" w:rsidRDefault="00000000" w:rsidRPr="00000000" w14:paraId="000000A4">
      <w:pPr>
        <w:ind w:left="1440" w:firstLine="0"/>
        <w:rPr>
          <w:sz w:val="20"/>
          <w:szCs w:val="20"/>
        </w:rPr>
      </w:pPr>
      <w:r w:rsidDel="00000000" w:rsidR="00000000" w:rsidRPr="00000000">
        <w:rPr>
          <w:sz w:val="20"/>
          <w:szCs w:val="20"/>
          <w:rtl w:val="0"/>
        </w:rPr>
        <w:t xml:space="preserve">Overall (vs. penalty adjusted incentive):</w:t>
      </w:r>
      <w:r w:rsidDel="00000000" w:rsidR="00000000" w:rsidRPr="00000000">
        <w:rPr>
          <w:sz w:val="20"/>
          <w:szCs w:val="20"/>
        </w:rPr>
        <w:drawing>
          <wp:inline distB="114300" distT="114300" distL="114300" distR="114300">
            <wp:extent cx="4653568" cy="1366838"/>
            <wp:effectExtent b="0" l="0" r="0" t="0"/>
            <wp:docPr id="20"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4653568" cy="1366838"/>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ind w:left="1440" w:firstLine="0"/>
        <w:rPr/>
      </w:pPr>
      <w:r w:rsidDel="00000000" w:rsidR="00000000" w:rsidRPr="00000000">
        <w:rPr/>
        <w:drawing>
          <wp:inline distB="114300" distT="114300" distL="114300" distR="114300">
            <wp:extent cx="5711757" cy="3871913"/>
            <wp:effectExtent b="0" l="0" r="0" t="0"/>
            <wp:docPr id="11"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711757" cy="3871913"/>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ind w:left="720" w:firstLine="0"/>
        <w:rPr/>
      </w:pPr>
      <w:r w:rsidDel="00000000" w:rsidR="00000000" w:rsidRPr="00000000">
        <w:rPr>
          <w:rtl w:val="0"/>
        </w:rPr>
      </w:r>
    </w:p>
    <w:p w:rsidR="00000000" w:rsidDel="00000000" w:rsidP="00000000" w:rsidRDefault="00000000" w:rsidRPr="00000000" w14:paraId="000000A7">
      <w:pPr>
        <w:ind w:left="1440" w:firstLine="0"/>
        <w:rPr/>
      </w:pPr>
      <w:r w:rsidDel="00000000" w:rsidR="00000000" w:rsidRPr="00000000">
        <w:rPr>
          <w:sz w:val="20"/>
          <w:szCs w:val="20"/>
          <w:rtl w:val="0"/>
        </w:rPr>
        <w:t xml:space="preserve">(vs. months since Conversion or TC start):</w:t>
      </w:r>
      <w:r w:rsidDel="00000000" w:rsidR="00000000" w:rsidRPr="00000000">
        <w:rPr/>
        <w:drawing>
          <wp:inline distB="114300" distT="114300" distL="114300" distR="114300">
            <wp:extent cx="4748213" cy="2004116"/>
            <wp:effectExtent b="0" l="0" r="0" t="0"/>
            <wp:docPr id="21"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4748213" cy="2004116"/>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ind w:left="2160" w:firstLine="0"/>
        <w:rPr>
          <w:sz w:val="20"/>
          <w:szCs w:val="20"/>
        </w:rPr>
      </w:pPr>
      <w:r w:rsidDel="00000000" w:rsidR="00000000" w:rsidRPr="00000000">
        <w:rPr>
          <w:rtl w:val="0"/>
        </w:rPr>
      </w:r>
    </w:p>
    <w:p w:rsidR="00000000" w:rsidDel="00000000" w:rsidP="00000000" w:rsidRDefault="00000000" w:rsidRPr="00000000" w14:paraId="000000A9">
      <w:pPr>
        <w:ind w:left="1440" w:firstLine="0"/>
        <w:rPr/>
      </w:pPr>
      <w:r w:rsidDel="00000000" w:rsidR="00000000" w:rsidRPr="00000000">
        <w:rPr>
          <w:sz w:val="20"/>
          <w:szCs w:val="20"/>
          <w:rtl w:val="0"/>
        </w:rPr>
        <w:t xml:space="preserve">Out-of-money (incentive &lt;= -50):</w:t>
      </w:r>
      <w:r w:rsidDel="00000000" w:rsidR="00000000" w:rsidRPr="00000000">
        <w:rPr>
          <w:sz w:val="20"/>
          <w:szCs w:val="20"/>
        </w:rPr>
        <w:drawing>
          <wp:inline distB="114300" distT="114300" distL="114300" distR="114300">
            <wp:extent cx="4719638" cy="2021359"/>
            <wp:effectExtent b="0" l="0" r="0" t="0"/>
            <wp:docPr id="25"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4719638" cy="2021359"/>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ind w:left="1440" w:firstLine="0"/>
        <w:rPr/>
      </w:pPr>
      <w:r w:rsidDel="00000000" w:rsidR="00000000" w:rsidRPr="00000000">
        <w:rPr>
          <w:sz w:val="20"/>
          <w:szCs w:val="20"/>
          <w:rtl w:val="0"/>
        </w:rPr>
        <w:t xml:space="preserve">In-the-money (incentive &gt;= 50):</w:t>
      </w:r>
      <w:r w:rsidDel="00000000" w:rsidR="00000000" w:rsidRPr="00000000">
        <w:rPr/>
        <w:drawing>
          <wp:inline distB="114300" distT="114300" distL="114300" distR="114300">
            <wp:extent cx="4748213" cy="2052653"/>
            <wp:effectExtent b="0" l="0" r="0" t="0"/>
            <wp:docPr id="8"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4748213" cy="2052653"/>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numPr>
          <w:ilvl w:val="0"/>
          <w:numId w:val="6"/>
        </w:numPr>
        <w:ind w:left="720" w:hanging="360"/>
      </w:pPr>
      <w:r w:rsidDel="00000000" w:rsidR="00000000" w:rsidRPr="00000000">
        <w:rPr>
          <w:b w:val="1"/>
          <w:color w:val="6aa84f"/>
          <w:rtl w:val="0"/>
        </w:rPr>
        <w:t xml:space="preserve">Model B </w:t>
      </w:r>
      <w:r w:rsidDel="00000000" w:rsidR="00000000" w:rsidRPr="00000000">
        <w:rPr>
          <w:i w:val="1"/>
          <w:color w:val="6aa84f"/>
          <w:rtl w:val="0"/>
        </w:rPr>
        <w:t xml:space="preserve">(for loans with TC date and CL conversion date unknown)</w:t>
      </w:r>
      <w:r w:rsidDel="00000000" w:rsidR="00000000" w:rsidRPr="00000000">
        <w:rPr>
          <w:color w:val="6aa84f"/>
          <w:rtl w:val="0"/>
        </w:rPr>
        <w:t xml:space="preserve">:</w:t>
      </w:r>
      <w:r w:rsidDel="00000000" w:rsidR="00000000" w:rsidRPr="00000000">
        <w:rPr>
          <w:rtl w:val="0"/>
        </w:rPr>
      </w:r>
    </w:p>
    <w:p w:rsidR="00000000" w:rsidDel="00000000" w:rsidP="00000000" w:rsidRDefault="00000000" w:rsidRPr="00000000" w14:paraId="000000AD">
      <w:pPr>
        <w:numPr>
          <w:ilvl w:val="1"/>
          <w:numId w:val="6"/>
        </w:numPr>
        <w:ind w:left="1440" w:hanging="360"/>
        <w:rPr>
          <w:u w:val="none"/>
        </w:rPr>
      </w:pPr>
      <w:r w:rsidDel="00000000" w:rsidR="00000000" w:rsidRPr="00000000">
        <w:rPr>
          <w:b w:val="1"/>
          <w:rtl w:val="0"/>
        </w:rPr>
        <w:t xml:space="preserve">Overview</w:t>
      </w:r>
      <w:r w:rsidDel="00000000" w:rsidR="00000000" w:rsidRPr="00000000">
        <w:rPr>
          <w:rtl w:val="0"/>
        </w:rPr>
        <w:t xml:space="preserve">:</w:t>
      </w:r>
    </w:p>
    <w:p w:rsidR="00000000" w:rsidDel="00000000" w:rsidP="00000000" w:rsidRDefault="00000000" w:rsidRPr="00000000" w14:paraId="000000AE">
      <w:pPr>
        <w:ind w:left="2160" w:firstLine="0"/>
        <w:rPr>
          <w:sz w:val="20"/>
          <w:szCs w:val="20"/>
        </w:rPr>
      </w:pPr>
      <w:r w:rsidDel="00000000" w:rsidR="00000000" w:rsidRPr="00000000">
        <w:rPr>
          <w:sz w:val="20"/>
          <w:szCs w:val="20"/>
          <w:rtl w:val="0"/>
        </w:rPr>
        <w:t xml:space="preserve">No obvious pattern between the Issue Date of non-Construction loans and their TC start year (in years):</w:t>
      </w:r>
    </w:p>
    <w:p w:rsidR="00000000" w:rsidDel="00000000" w:rsidP="00000000" w:rsidRDefault="00000000" w:rsidRPr="00000000" w14:paraId="000000AF">
      <w:pPr>
        <w:ind w:left="2160" w:firstLine="0"/>
        <w:rPr/>
      </w:pPr>
      <w:r w:rsidDel="00000000" w:rsidR="00000000" w:rsidRPr="00000000">
        <w:rPr/>
        <w:drawing>
          <wp:inline distB="114300" distT="114300" distL="114300" distR="114300">
            <wp:extent cx="4071938" cy="2747878"/>
            <wp:effectExtent b="0" l="0" r="0" t="0"/>
            <wp:docPr id="6"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4071938" cy="2747878"/>
                    </a:xfrm>
                    <a:prstGeom prst="rect"/>
                    <a:ln/>
                  </pic:spPr>
                </pic:pic>
              </a:graphicData>
            </a:graphic>
          </wp:inline>
        </w:drawing>
      </w:r>
      <w:commentRangeStart w:id="8"/>
      <w:commentRangeStart w:id="9"/>
      <w:commentRangeStart w:id="10"/>
      <w:commentRangeStart w:id="11"/>
      <w:r w:rsidDel="00000000" w:rsidR="00000000" w:rsidRPr="00000000">
        <w:rPr/>
        <w:drawing>
          <wp:inline distB="114300" distT="114300" distL="114300" distR="114300">
            <wp:extent cx="228702" cy="190500"/>
            <wp:effectExtent b="0" l="0" r="0" t="0"/>
            <wp:docPr id="26"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228702" cy="190500"/>
                    </a:xfrm>
                    <a:prstGeom prst="rect"/>
                    <a:ln/>
                  </pic:spPr>
                </pic:pic>
              </a:graphicData>
            </a:graphic>
          </wp:inline>
        </w:drawing>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B0">
      <w:pPr>
        <w:ind w:left="2160" w:firstLine="0"/>
        <w:rPr/>
      </w:pPr>
      <w:r w:rsidDel="00000000" w:rsidR="00000000" w:rsidRPr="00000000">
        <w:rPr>
          <w:rtl w:val="0"/>
        </w:rPr>
      </w:r>
    </w:p>
    <w:p w:rsidR="00000000" w:rsidDel="00000000" w:rsidP="00000000" w:rsidRDefault="00000000" w:rsidRPr="00000000" w14:paraId="000000B1">
      <w:pPr>
        <w:ind w:left="2160" w:firstLine="0"/>
        <w:rPr>
          <w:sz w:val="20"/>
          <w:szCs w:val="20"/>
        </w:rPr>
      </w:pPr>
      <w:r w:rsidDel="00000000" w:rsidR="00000000" w:rsidRPr="00000000">
        <w:rPr>
          <w:sz w:val="20"/>
          <w:szCs w:val="20"/>
          <w:rtl w:val="0"/>
        </w:rPr>
        <w:t xml:space="preserve">The average diff is 9.31 years, but the overall variance is big</w:t>
      </w:r>
    </w:p>
    <w:p w:rsidR="00000000" w:rsidDel="00000000" w:rsidP="00000000" w:rsidRDefault="00000000" w:rsidRPr="00000000" w14:paraId="000000B2">
      <w:pPr>
        <w:ind w:left="2160" w:firstLine="0"/>
        <w:rPr/>
      </w:pPr>
      <w:r w:rsidDel="00000000" w:rsidR="00000000" w:rsidRPr="00000000">
        <w:rPr>
          <w:b w:val="1"/>
          <w:color w:val="980000"/>
          <w:sz w:val="20"/>
          <w:szCs w:val="20"/>
          <w:rtl w:val="0"/>
        </w:rPr>
        <w:t xml:space="preserve">S-curve comparison</w:t>
      </w:r>
      <w:r w:rsidDel="00000000" w:rsidR="00000000" w:rsidRPr="00000000">
        <w:rPr>
          <w:sz w:val="20"/>
          <w:szCs w:val="20"/>
          <w:rtl w:val="0"/>
        </w:rPr>
        <w:t xml:space="preserve"> for (TC </w:t>
      </w:r>
      <w:r w:rsidDel="00000000" w:rsidR="00000000" w:rsidRPr="00000000">
        <w:rPr>
          <w:b w:val="1"/>
          <w:sz w:val="20"/>
          <w:szCs w:val="20"/>
          <w:rtl w:val="0"/>
        </w:rPr>
        <w:t xml:space="preserve">&lt; 10yr</w:t>
      </w:r>
      <w:r w:rsidDel="00000000" w:rsidR="00000000" w:rsidRPr="00000000">
        <w:rPr>
          <w:sz w:val="20"/>
          <w:szCs w:val="20"/>
          <w:rtl w:val="0"/>
        </w:rPr>
        <w:t xml:space="preserve"> vs. TC </w:t>
      </w:r>
      <w:r w:rsidDel="00000000" w:rsidR="00000000" w:rsidRPr="00000000">
        <w:rPr>
          <w:b w:val="1"/>
          <w:sz w:val="20"/>
          <w:szCs w:val="20"/>
          <w:rtl w:val="0"/>
        </w:rPr>
        <w:t xml:space="preserve">&gt;= 10yr </w:t>
      </w:r>
      <w:r w:rsidDel="00000000" w:rsidR="00000000" w:rsidRPr="00000000">
        <w:rPr>
          <w:sz w:val="20"/>
          <w:szCs w:val="20"/>
          <w:rtl w:val="0"/>
        </w:rPr>
        <w:t xml:space="preserve">vs. </w:t>
      </w:r>
      <w:r w:rsidDel="00000000" w:rsidR="00000000" w:rsidRPr="00000000">
        <w:rPr>
          <w:b w:val="1"/>
          <w:sz w:val="20"/>
          <w:szCs w:val="20"/>
          <w:rtl w:val="0"/>
        </w:rPr>
        <w:t xml:space="preserve">Construction Loan</w:t>
      </w:r>
      <w:r w:rsidDel="00000000" w:rsidR="00000000" w:rsidRPr="00000000">
        <w:rPr>
          <w:sz w:val="20"/>
          <w:szCs w:val="20"/>
          <w:rtl w:val="0"/>
        </w:rPr>
        <w:t xml:space="preserve">), 0-48 msle, factor date &gt; 2016-02-01</w:t>
      </w:r>
      <w:r w:rsidDel="00000000" w:rsidR="00000000" w:rsidRPr="00000000">
        <w:rPr/>
        <w:drawing>
          <wp:inline distB="114300" distT="114300" distL="114300" distR="114300">
            <wp:extent cx="4933950" cy="2481263"/>
            <wp:effectExtent b="0" l="0" r="0" t="0"/>
            <wp:docPr id="2"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4933950" cy="2481263"/>
                    </a:xfrm>
                    <a:prstGeom prst="rect"/>
                    <a:ln/>
                  </pic:spPr>
                </pic:pic>
              </a:graphicData>
            </a:graphic>
          </wp:inline>
        </w:drawing>
      </w:r>
      <w:r w:rsidDel="00000000" w:rsidR="00000000" w:rsidRPr="00000000">
        <w:rPr/>
        <w:drawing>
          <wp:inline distB="114300" distT="114300" distL="114300" distR="114300">
            <wp:extent cx="1804988" cy="417997"/>
            <wp:effectExtent b="0" l="0" r="0" t="0"/>
            <wp:docPr id="23"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1804988" cy="417997"/>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ind w:left="2160" w:firstLine="0"/>
        <w:rPr/>
      </w:pPr>
      <w:r w:rsidDel="00000000" w:rsidR="00000000" w:rsidRPr="00000000">
        <w:rPr>
          <w:rtl w:val="0"/>
        </w:rPr>
      </w:r>
    </w:p>
    <w:p w:rsidR="00000000" w:rsidDel="00000000" w:rsidP="00000000" w:rsidRDefault="00000000" w:rsidRPr="00000000" w14:paraId="000000B4">
      <w:pPr>
        <w:numPr>
          <w:ilvl w:val="1"/>
          <w:numId w:val="6"/>
        </w:numPr>
        <w:ind w:left="1440" w:hanging="360"/>
      </w:pPr>
      <w:r w:rsidDel="00000000" w:rsidR="00000000" w:rsidRPr="00000000">
        <w:rPr>
          <w:b w:val="1"/>
          <w:rtl w:val="0"/>
        </w:rPr>
        <w:t xml:space="preserve">Model multipliers</w:t>
      </w:r>
      <w:r w:rsidDel="00000000" w:rsidR="00000000" w:rsidRPr="00000000">
        <w:rPr>
          <w:rtl w:val="0"/>
        </w:rPr>
        <w:t xml:space="preserve"> (months since lock-out end): </w:t>
      </w:r>
    </w:p>
    <w:p w:rsidR="00000000" w:rsidDel="00000000" w:rsidP="00000000" w:rsidRDefault="00000000" w:rsidRPr="00000000" w14:paraId="000000B5">
      <w:pPr>
        <w:ind w:left="1440" w:firstLine="0"/>
        <w:rPr>
          <w:i w:val="1"/>
          <w:color w:val="a61c00"/>
        </w:rPr>
      </w:pPr>
      <w:r w:rsidDel="00000000" w:rsidR="00000000" w:rsidRPr="00000000">
        <w:rPr>
          <w:i w:val="1"/>
          <w:color w:val="a61c00"/>
          <w:rtl w:val="0"/>
        </w:rPr>
        <w:t xml:space="preserve">This model is fit with all LIHTC loan data, NOT restricted to the loans without “conversion date” and “TC start date”</w:t>
      </w:r>
    </w:p>
    <w:p w:rsidR="00000000" w:rsidDel="00000000" w:rsidP="00000000" w:rsidRDefault="00000000" w:rsidRPr="00000000" w14:paraId="000000B6">
      <w:pPr>
        <w:ind w:left="1440" w:firstLine="720"/>
        <w:rPr/>
      </w:pPr>
      <w:r w:rsidDel="00000000" w:rsidR="00000000" w:rsidRPr="00000000">
        <w:rPr/>
        <w:drawing>
          <wp:inline distB="114300" distT="114300" distL="114300" distR="114300">
            <wp:extent cx="2176463" cy="1572772"/>
            <wp:effectExtent b="0" l="0" r="0" t="0"/>
            <wp:docPr id="19"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2176463" cy="1572772"/>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numPr>
          <w:ilvl w:val="1"/>
          <w:numId w:val="6"/>
        </w:numPr>
        <w:ind w:left="1440" w:hanging="360"/>
      </w:pPr>
      <w:r w:rsidDel="00000000" w:rsidR="00000000" w:rsidRPr="00000000">
        <w:rPr>
          <w:b w:val="1"/>
          <w:rtl w:val="0"/>
        </w:rPr>
        <w:t xml:space="preserve">Tracking </w:t>
      </w:r>
      <w:r w:rsidDel="00000000" w:rsidR="00000000" w:rsidRPr="00000000">
        <w:rPr>
          <w:rtl w:val="0"/>
        </w:rPr>
        <w:t xml:space="preserve">(Factor Date &gt;= Feb 2016, for all LIHTC loans):</w:t>
      </w:r>
    </w:p>
    <w:p w:rsidR="00000000" w:rsidDel="00000000" w:rsidP="00000000" w:rsidRDefault="00000000" w:rsidRPr="00000000" w14:paraId="000000B8">
      <w:pPr>
        <w:rPr>
          <w:sz w:val="20"/>
          <w:szCs w:val="20"/>
        </w:rPr>
      </w:pPr>
      <w:r w:rsidDel="00000000" w:rsidR="00000000" w:rsidRPr="00000000">
        <w:rPr>
          <w:rtl w:val="0"/>
        </w:rPr>
        <w:tab/>
      </w:r>
      <w:r w:rsidDel="00000000" w:rsidR="00000000" w:rsidRPr="00000000">
        <w:rPr>
          <w:sz w:val="20"/>
          <w:szCs w:val="20"/>
          <w:rtl w:val="0"/>
        </w:rPr>
        <w:tab/>
        <w:t xml:space="preserve">Overall (vs. penalty adjusted incentive):</w:t>
      </w:r>
    </w:p>
    <w:p w:rsidR="00000000" w:rsidDel="00000000" w:rsidP="00000000" w:rsidRDefault="00000000" w:rsidRPr="00000000" w14:paraId="000000B9">
      <w:pPr>
        <w:ind w:left="1440" w:firstLine="0"/>
        <w:rPr/>
      </w:pPr>
      <w:r w:rsidDel="00000000" w:rsidR="00000000" w:rsidRPr="00000000">
        <w:rPr/>
        <w:drawing>
          <wp:inline distB="114300" distT="114300" distL="114300" distR="114300">
            <wp:extent cx="4364392" cy="1328738"/>
            <wp:effectExtent b="0" l="0" r="0" t="0"/>
            <wp:docPr id="3"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4364392" cy="1328738"/>
                    </a:xfrm>
                    <a:prstGeom prst="rect"/>
                    <a:ln/>
                  </pic:spPr>
                </pic:pic>
              </a:graphicData>
            </a:graphic>
          </wp:inline>
        </w:drawing>
      </w:r>
      <w:r w:rsidDel="00000000" w:rsidR="00000000" w:rsidRPr="00000000">
        <w:rPr/>
        <w:drawing>
          <wp:inline distB="114300" distT="114300" distL="114300" distR="114300">
            <wp:extent cx="5757863" cy="3905750"/>
            <wp:effectExtent b="0" l="0" r="0" t="0"/>
            <wp:docPr id="5"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5757863" cy="390575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ind w:left="1440" w:firstLine="0"/>
        <w:rPr/>
      </w:pPr>
      <w:r w:rsidDel="00000000" w:rsidR="00000000" w:rsidRPr="00000000">
        <w:rPr>
          <w:rtl w:val="0"/>
        </w:rPr>
      </w:r>
    </w:p>
    <w:p w:rsidR="00000000" w:rsidDel="00000000" w:rsidP="00000000" w:rsidRDefault="00000000" w:rsidRPr="00000000" w14:paraId="000000BB">
      <w:pPr>
        <w:ind w:left="1440" w:firstLine="0"/>
        <w:rPr/>
      </w:pPr>
      <w:r w:rsidDel="00000000" w:rsidR="00000000" w:rsidRPr="00000000">
        <w:rPr>
          <w:rtl w:val="0"/>
        </w:rPr>
      </w:r>
    </w:p>
    <w:p w:rsidR="00000000" w:rsidDel="00000000" w:rsidP="00000000" w:rsidRDefault="00000000" w:rsidRPr="00000000" w14:paraId="000000BC">
      <w:pPr>
        <w:ind w:left="720" w:firstLine="0"/>
        <w:rPr>
          <w:b w:val="1"/>
          <w:color w:val="6aa84f"/>
        </w:rPr>
      </w:pPr>
      <w:r w:rsidDel="00000000" w:rsidR="00000000" w:rsidRPr="00000000">
        <w:rPr>
          <w:rtl w:val="0"/>
        </w:rPr>
      </w:r>
    </w:p>
    <w:p w:rsidR="00000000" w:rsidDel="00000000" w:rsidP="00000000" w:rsidRDefault="00000000" w:rsidRPr="00000000" w14:paraId="000000BD">
      <w:pPr>
        <w:numPr>
          <w:ilvl w:val="0"/>
          <w:numId w:val="6"/>
        </w:numPr>
        <w:ind w:left="720" w:hanging="360"/>
      </w:pPr>
      <w:r w:rsidDel="00000000" w:rsidR="00000000" w:rsidRPr="00000000">
        <w:rPr>
          <w:b w:val="1"/>
          <w:color w:val="6aa84f"/>
          <w:rtl w:val="0"/>
        </w:rPr>
        <w:t xml:space="preserve">Combined Model (All LIHTC Loans)</w:t>
      </w:r>
      <w:r w:rsidDel="00000000" w:rsidR="00000000" w:rsidRPr="00000000">
        <w:rPr>
          <w:color w:val="6aa84f"/>
          <w:rtl w:val="0"/>
        </w:rPr>
        <w:t xml:space="preserve">:</w:t>
      </w:r>
    </w:p>
    <w:p w:rsidR="00000000" w:rsidDel="00000000" w:rsidP="00000000" w:rsidRDefault="00000000" w:rsidRPr="00000000" w14:paraId="000000BE">
      <w:pPr>
        <w:numPr>
          <w:ilvl w:val="1"/>
          <w:numId w:val="6"/>
        </w:numPr>
        <w:ind w:left="1440" w:hanging="360"/>
        <w:rPr/>
      </w:pPr>
      <w:r w:rsidDel="00000000" w:rsidR="00000000" w:rsidRPr="00000000">
        <w:rPr>
          <w:b w:val="1"/>
          <w:rtl w:val="0"/>
        </w:rPr>
        <w:t xml:space="preserve">Overview</w:t>
      </w:r>
      <w:r w:rsidDel="00000000" w:rsidR="00000000" w:rsidRPr="00000000">
        <w:rPr>
          <w:rtl w:val="0"/>
        </w:rPr>
        <w:t xml:space="preserve">:</w:t>
      </w:r>
    </w:p>
    <w:p w:rsidR="00000000" w:rsidDel="00000000" w:rsidP="00000000" w:rsidRDefault="00000000" w:rsidRPr="00000000" w14:paraId="000000BF">
      <w:pPr>
        <w:ind w:left="2160" w:firstLine="0"/>
        <w:rPr>
          <w:b w:val="1"/>
        </w:rPr>
      </w:pPr>
      <w:r w:rsidDel="00000000" w:rsidR="00000000" w:rsidRPr="00000000">
        <w:rPr>
          <w:rtl w:val="0"/>
        </w:rPr>
        <w:t xml:space="preserve">For loans that we have “TC start date” information, or that we know the CL conversion date, we use </w:t>
      </w:r>
      <w:r w:rsidDel="00000000" w:rsidR="00000000" w:rsidRPr="00000000">
        <w:rPr>
          <w:b w:val="1"/>
          <w:rtl w:val="0"/>
        </w:rPr>
        <w:t xml:space="preserve">Model A</w:t>
      </w:r>
      <w:r w:rsidDel="00000000" w:rsidR="00000000" w:rsidRPr="00000000">
        <w:rPr>
          <w:rtl w:val="0"/>
        </w:rPr>
        <w:t xml:space="preserve"> to project; for the rest of the loans, we use </w:t>
      </w:r>
      <w:r w:rsidDel="00000000" w:rsidR="00000000" w:rsidRPr="00000000">
        <w:rPr>
          <w:b w:val="1"/>
          <w:rtl w:val="0"/>
        </w:rPr>
        <w:t xml:space="preserve">Model B</w:t>
      </w:r>
    </w:p>
    <w:p w:rsidR="00000000" w:rsidDel="00000000" w:rsidP="00000000" w:rsidRDefault="00000000" w:rsidRPr="00000000" w14:paraId="000000C0">
      <w:pPr>
        <w:numPr>
          <w:ilvl w:val="1"/>
          <w:numId w:val="6"/>
        </w:numPr>
        <w:ind w:left="1440" w:hanging="360"/>
        <w:rPr>
          <w:u w:val="none"/>
        </w:rPr>
      </w:pPr>
      <w:r w:rsidDel="00000000" w:rsidR="00000000" w:rsidRPr="00000000">
        <w:rPr>
          <w:b w:val="1"/>
          <w:rtl w:val="0"/>
        </w:rPr>
        <w:t xml:space="preserve">Result</w:t>
      </w:r>
      <w:r w:rsidDel="00000000" w:rsidR="00000000" w:rsidRPr="00000000">
        <w:rPr>
          <w:rtl w:val="0"/>
        </w:rPr>
        <w:t xml:space="preserve">:</w:t>
      </w:r>
    </w:p>
    <w:p w:rsidR="00000000" w:rsidDel="00000000" w:rsidP="00000000" w:rsidRDefault="00000000" w:rsidRPr="00000000" w14:paraId="000000C1">
      <w:pPr>
        <w:ind w:left="0" w:hanging="1260"/>
        <w:rPr/>
      </w:pPr>
      <w:r w:rsidDel="00000000" w:rsidR="00000000" w:rsidRPr="00000000">
        <w:rPr/>
        <w:drawing>
          <wp:inline distB="114300" distT="114300" distL="114300" distR="114300">
            <wp:extent cx="7598142" cy="4271963"/>
            <wp:effectExtent b="0" l="0" r="0" t="0"/>
            <wp:docPr id="9"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7598142" cy="4271963"/>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ind w:left="2160" w:firstLine="0"/>
        <w:rPr/>
      </w:pPr>
      <w:r w:rsidDel="00000000" w:rsidR="00000000" w:rsidRPr="00000000">
        <w:rPr>
          <w:rtl w:val="0"/>
        </w:rPr>
      </w:r>
    </w:p>
    <w:p w:rsidR="00000000" w:rsidDel="00000000" w:rsidP="00000000" w:rsidRDefault="00000000" w:rsidRPr="00000000" w14:paraId="000000C3">
      <w:pPr>
        <w:ind w:left="1440" w:firstLine="0"/>
        <w:rPr/>
      </w:pPr>
      <w:r w:rsidDel="00000000" w:rsidR="00000000" w:rsidRPr="00000000">
        <w:rPr>
          <w:rtl w:val="0"/>
        </w:rPr>
      </w:r>
    </w:p>
    <w:p w:rsidR="00000000" w:rsidDel="00000000" w:rsidP="00000000" w:rsidRDefault="00000000" w:rsidRPr="00000000" w14:paraId="000000C4">
      <w:pPr>
        <w:numPr>
          <w:ilvl w:val="0"/>
          <w:numId w:val="3"/>
        </w:numPr>
        <w:ind w:left="720" w:hanging="360"/>
        <w:rPr>
          <w:b w:val="1"/>
          <w:color w:val="6aa84f"/>
        </w:rPr>
      </w:pPr>
      <w:r w:rsidDel="00000000" w:rsidR="00000000" w:rsidRPr="00000000">
        <w:rPr>
          <w:b w:val="1"/>
          <w:color w:val="6aa84f"/>
          <w:rtl w:val="0"/>
        </w:rPr>
        <w:t xml:space="preserve">Discussion on the impact of IRR/non-IRR prepayments:</w:t>
      </w:r>
    </w:p>
    <w:p w:rsidR="00000000" w:rsidDel="00000000" w:rsidP="00000000" w:rsidRDefault="00000000" w:rsidRPr="00000000" w14:paraId="000000C5">
      <w:pPr>
        <w:numPr>
          <w:ilvl w:val="1"/>
          <w:numId w:val="3"/>
        </w:numPr>
        <w:ind w:left="1440" w:hanging="360"/>
        <w:rPr>
          <w:u w:val="none"/>
        </w:rPr>
      </w:pPr>
      <w:hyperlink r:id="rId38">
        <w:r w:rsidDel="00000000" w:rsidR="00000000" w:rsidRPr="00000000">
          <w:rPr>
            <w:color w:val="1155cc"/>
            <w:u w:val="single"/>
            <w:rtl w:val="0"/>
          </w:rPr>
          <w:t xml:space="preserve">https://docs.google.com/document/d/1sSbF7ZovukF9JL3glWjGZhnc3zhrGzde9mTjaxTNQIU/edit</w:t>
        </w:r>
      </w:hyperlink>
      <w:r w:rsidDel="00000000" w:rsidR="00000000" w:rsidRPr="00000000">
        <w:rPr>
          <w:rtl w:val="0"/>
        </w:rPr>
      </w:r>
    </w:p>
    <w:p w:rsidR="00000000" w:rsidDel="00000000" w:rsidP="00000000" w:rsidRDefault="00000000" w:rsidRPr="00000000" w14:paraId="000000C6">
      <w:pPr>
        <w:rPr>
          <w:i w:val="1"/>
          <w:color w:val="4a86e8"/>
        </w:rPr>
      </w:pPr>
      <w:r w:rsidDel="00000000" w:rsidR="00000000" w:rsidRPr="00000000">
        <w:rPr>
          <w:rtl w:val="0"/>
        </w:rPr>
      </w:r>
    </w:p>
    <w:p w:rsidR="00000000" w:rsidDel="00000000" w:rsidP="00000000" w:rsidRDefault="00000000" w:rsidRPr="00000000" w14:paraId="000000C7">
      <w:pPr>
        <w:rPr>
          <w:color w:val="a61c00"/>
        </w:rPr>
      </w:pPr>
      <w:r w:rsidDel="00000000" w:rsidR="00000000" w:rsidRPr="00000000">
        <w:rPr>
          <w:i w:val="1"/>
          <w:color w:val="4a86e8"/>
          <w:rtl w:val="0"/>
        </w:rPr>
        <w:tab/>
      </w:r>
      <w:r w:rsidDel="00000000" w:rsidR="00000000" w:rsidRPr="00000000">
        <w:rPr>
          <w:rtl w:val="0"/>
        </w:rPr>
      </w:r>
    </w:p>
    <w:p w:rsidR="00000000" w:rsidDel="00000000" w:rsidP="00000000" w:rsidRDefault="00000000" w:rsidRPr="00000000" w14:paraId="000000C8">
      <w:pPr>
        <w:rPr>
          <w:b w:val="1"/>
        </w:rPr>
      </w:pPr>
      <w:r w:rsidDel="00000000" w:rsidR="00000000" w:rsidRPr="00000000">
        <w:rPr>
          <w:rtl w:val="0"/>
        </w:rPr>
      </w:r>
    </w:p>
    <w:p w:rsidR="00000000" w:rsidDel="00000000" w:rsidP="00000000" w:rsidRDefault="00000000" w:rsidRPr="00000000" w14:paraId="000000C9">
      <w:pPr>
        <w:ind w:left="720" w:firstLine="0"/>
        <w:rPr>
          <w:b w:val="1"/>
          <w:i w:val="1"/>
          <w:color w:val="4a86e8"/>
        </w:rPr>
      </w:pPr>
      <w:r w:rsidDel="00000000" w:rsidR="00000000" w:rsidRPr="00000000">
        <w:rPr>
          <w:rtl w:val="0"/>
        </w:rPr>
      </w:r>
    </w:p>
    <w:sectPr>
      <w:pgSz w:h="15840" w:w="12240"/>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Chunnip Lee" w:id="13" w:date="2019-04-10T21:24:12Z">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state has these?</w:t>
      </w:r>
    </w:p>
  </w:comment>
  <w:comment w:author="Hongzhuo Zhang" w:id="14" w:date="2019-04-10T21:36:57Z">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article didn't mention the state names. I will try to find out.</w:t>
      </w:r>
    </w:p>
  </w:comment>
  <w:comment w:author="Chunnip Lee" w:id="8" w:date="2019-04-24T18:59:16Z">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 two buckets of loans and compare 0-48 msle S-curve since 2016.</w:t>
      </w:r>
    </w:p>
  </w:comment>
  <w:comment w:author="Chunnip Lee" w:id="9" w:date="2019-04-24T18:59:57Z">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compare to construction loan</w:t>
      </w:r>
    </w:p>
  </w:comment>
  <w:comment w:author="Hongzhuo Zhang" w:id="10" w:date="2019-04-25T15:53:16Z">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plotted the s-curve for the 2 buckets (10yr) and for the construction loans as well, for 0-48 msle &amp; &gt;=2016-02-01</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Looks like refi loans issued &gt;= 10yr after TC does prepay faster for OTM, as they are closer to the TC year 15 event. Both &lt; 10yr loans &amp; construction loans have very small OTM prepay as they are still in the early stage of TC with the 48 msle restriction.</w:t>
      </w:r>
    </w:p>
  </w:comment>
  <w:comment w:author="Hongzhuo Zhang" w:id="11" w:date="2019-04-25T16:22:45Z">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second chart is the s-curve from our production model. The model doesn't differentiate the 3 categories and predict similarly. For reference, the purple line is the "Actual &gt;=10 yr refi loans" from the previous chart. For OTM, the model projections are close to the purple line.</w:t>
      </w:r>
    </w:p>
  </w:comment>
  <w:comment w:author="Chunnip Lee" w:id="1" w:date="2019-04-24T19:05:47Z">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is our model CRR so low?  Is it because of loan age?</w:t>
      </w:r>
    </w:p>
  </w:comment>
  <w:comment w:author="Hongzhuo Zhang" w:id="2" w:date="2019-04-24T21:59:29Z">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see that for OTM, our model predicts &lt;= 3.8 CRR for GPL universe, and &lt;= 3.0 CRR for GPL with tax credit, which is in line with this chart.</w:t>
      </w:r>
    </w:p>
  </w:comment>
  <w:comment w:author="Chunnip Lee" w:id="6" w:date="2019-04-10T21:20:57Z">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distinguish nonprofits?</w:t>
      </w:r>
    </w:p>
  </w:comment>
  <w:comment w:author="Hongzhuo Zhang" w:id="7" w:date="2019-04-10T21:36:02Z">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we can distinguish from the "NON_PROF" column of the LIHTC database. I have to figure out a way to map our GPL pool table to this table in the database.</w:t>
      </w:r>
    </w:p>
  </w:comment>
  <w:comment w:author="Chunnip Lee" w:id="12" w:date="2019-04-10T22:08:08Z">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basically you are saying that states with a QC process will have higher turnover after year 15.</w:t>
      </w:r>
    </w:p>
  </w:comment>
  <w:comment w:author="Chunnip Lee" w:id="3" w:date="2019-04-24T19:03:08Z">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OTM, do we have more data even if we include pre 2014 factor?</w:t>
      </w:r>
    </w:p>
  </w:comment>
  <w:comment w:author="Hongzhuo Zhang" w:id="4" w:date="2019-04-25T14:52:02Z">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Including the pre-2014 factor doesn't help much for OTM. The number of data points increased slightly from 26k to 28k. The shape &amp; size of the CRR curve stays basically the same</w:t>
      </w:r>
    </w:p>
  </w:comment>
  <w:comment w:author="Chunnip Lee" w:id="5" w:date="2019-04-25T15:17:02Z">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Thanks.</w:t>
      </w:r>
    </w:p>
  </w:comment>
  <w:comment w:author="Chunnip Lee" w:id="0" w:date="2019-04-10T21:55:15Z">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check to make sure that lihtc label will persist after 15 yr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1">
    <w:p w:rsidR="00000000" w:rsidDel="00000000" w:rsidP="00000000" w:rsidRDefault="00000000" w:rsidRPr="00000000" w14:paraId="000000CA">
      <w:pPr>
        <w:spacing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commentRangeStart w:id="12"/>
      <w:r w:rsidDel="00000000" w:rsidR="00000000" w:rsidRPr="00000000">
        <w:rPr>
          <w:sz w:val="18"/>
          <w:szCs w:val="18"/>
          <w:rtl w:val="0"/>
        </w:rPr>
        <w:t xml:space="preserve">The legislation that extended LIHTC use restrictions from 15 to 30 years also established a Qualified Contract (QC). In the QC process, the owner requests the state agency to find A buyer for the property, and the state agency then has one year to find a potential buyer who will maintain the property as affordable housing. If the state is unsuccessful in finding a buyer, then the owner is entitled to be relieved of LIHTC affordability restrictions, and those restrictions phase out over 3 years.</w:t>
      </w:r>
      <w:commentRangeEnd w:id="12"/>
      <w:r w:rsidDel="00000000" w:rsidR="00000000" w:rsidRPr="00000000">
        <w:commentReference w:id="12"/>
      </w:r>
      <w:r w:rsidDel="00000000" w:rsidR="00000000" w:rsidRPr="00000000">
        <w:rPr>
          <w:sz w:val="18"/>
          <w:szCs w:val="18"/>
          <w:rtl w:val="0"/>
        </w:rPr>
        <w:t xml:space="preserve"> </w:t>
      </w:r>
      <w:commentRangeStart w:id="13"/>
      <w:commentRangeStart w:id="14"/>
      <w:r w:rsidDel="00000000" w:rsidR="00000000" w:rsidRPr="00000000">
        <w:rPr>
          <w:sz w:val="18"/>
          <w:szCs w:val="18"/>
          <w:rtl w:val="0"/>
        </w:rPr>
        <w:t xml:space="preserve">QC sales tend to be concentrated in a few states and are not common.</w:t>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footnote>
  <w:footnote w:id="0">
    <w:p w:rsidR="00000000" w:rsidDel="00000000" w:rsidP="00000000" w:rsidRDefault="00000000" w:rsidRPr="00000000" w14:paraId="000000C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Detailed discussion on this situation: </w:t>
      </w:r>
      <w:hyperlink r:id="rId1">
        <w:r w:rsidDel="00000000" w:rsidR="00000000" w:rsidRPr="00000000">
          <w:rPr>
            <w:color w:val="1155cc"/>
            <w:sz w:val="20"/>
            <w:szCs w:val="20"/>
            <w:u w:val="single"/>
            <w:rtl w:val="0"/>
          </w:rPr>
          <w:t xml:space="preserve">https://docs.google.com/document/d/1J-i4f_0nQnb8wf_wEkuncPerISQh_tN1k-xkRb109NM/edit</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hyperlink" Target="https://docs.google.com/document/d/1X_z5mgsO7G507e3fWOaQzibnoeQCn6E8wZx7ydlbvIc/edit" TargetMode="External"/><Relationship Id="rId21" Type="http://schemas.openxmlformats.org/officeDocument/2006/relationships/image" Target="media/image10.png"/><Relationship Id="rId24" Type="http://schemas.openxmlformats.org/officeDocument/2006/relationships/image" Target="media/image8.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huduser.gov/portal/datasets/lihtc.html" TargetMode="External"/><Relationship Id="rId26" Type="http://schemas.openxmlformats.org/officeDocument/2006/relationships/image" Target="media/image7.png"/><Relationship Id="rId25" Type="http://schemas.openxmlformats.org/officeDocument/2006/relationships/image" Target="media/image15.png"/><Relationship Id="rId28" Type="http://schemas.openxmlformats.org/officeDocument/2006/relationships/image" Target="media/image19.png"/><Relationship Id="rId27" Type="http://schemas.openxmlformats.org/officeDocument/2006/relationships/image" Target="media/image18.png"/><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image" Target="media/image4.png"/><Relationship Id="rId7" Type="http://schemas.openxmlformats.org/officeDocument/2006/relationships/styles" Target="styles.xml"/><Relationship Id="rId8" Type="http://schemas.openxmlformats.org/officeDocument/2006/relationships/hyperlink" Target="https://www.hud.gov/program_offices/housing/comp/rpts/mfh/mf_f47/" TargetMode="External"/><Relationship Id="rId31" Type="http://schemas.openxmlformats.org/officeDocument/2006/relationships/image" Target="media/image23.png"/><Relationship Id="rId30" Type="http://schemas.openxmlformats.org/officeDocument/2006/relationships/image" Target="media/image14.png"/><Relationship Id="rId11" Type="http://schemas.openxmlformats.org/officeDocument/2006/relationships/image" Target="media/image25.png"/><Relationship Id="rId33" Type="http://schemas.openxmlformats.org/officeDocument/2006/relationships/image" Target="media/image22.png"/><Relationship Id="rId10" Type="http://schemas.openxmlformats.org/officeDocument/2006/relationships/hyperlink" Target="https://lihtc.huduser.gov/missing.htm" TargetMode="External"/><Relationship Id="rId32" Type="http://schemas.openxmlformats.org/officeDocument/2006/relationships/image" Target="media/image11.png"/><Relationship Id="rId13" Type="http://schemas.openxmlformats.org/officeDocument/2006/relationships/image" Target="media/image1.png"/><Relationship Id="rId35" Type="http://schemas.openxmlformats.org/officeDocument/2006/relationships/image" Target="media/image13.png"/><Relationship Id="rId12" Type="http://schemas.openxmlformats.org/officeDocument/2006/relationships/image" Target="media/image20.png"/><Relationship Id="rId34" Type="http://schemas.openxmlformats.org/officeDocument/2006/relationships/image" Target="media/image16.png"/><Relationship Id="rId15" Type="http://schemas.openxmlformats.org/officeDocument/2006/relationships/image" Target="media/image17.png"/><Relationship Id="rId37" Type="http://schemas.openxmlformats.org/officeDocument/2006/relationships/image" Target="media/image9.png"/><Relationship Id="rId14" Type="http://schemas.openxmlformats.org/officeDocument/2006/relationships/image" Target="media/image2.png"/><Relationship Id="rId36" Type="http://schemas.openxmlformats.org/officeDocument/2006/relationships/image" Target="media/image6.png"/><Relationship Id="rId17" Type="http://schemas.openxmlformats.org/officeDocument/2006/relationships/image" Target="media/image21.png"/><Relationship Id="rId16" Type="http://schemas.openxmlformats.org/officeDocument/2006/relationships/image" Target="media/image12.png"/><Relationship Id="rId38" Type="http://schemas.openxmlformats.org/officeDocument/2006/relationships/hyperlink" Target="https://docs.google.com/document/d/1sSbF7ZovukF9JL3glWjGZhnc3zhrGzde9mTjaxTNQIU/edit" TargetMode="External"/><Relationship Id="rId19" Type="http://schemas.openxmlformats.org/officeDocument/2006/relationships/image" Target="media/image3.png"/><Relationship Id="rId18" Type="http://schemas.openxmlformats.org/officeDocument/2006/relationships/image" Target="media/image26.png"/></Relationships>
</file>

<file path=word/_rels/footnotes.xml.rels><?xml version="1.0" encoding="UTF-8" standalone="yes"?><Relationships xmlns="http://schemas.openxmlformats.org/package/2006/relationships"><Relationship Id="rId1" Type="http://schemas.openxmlformats.org/officeDocument/2006/relationships/hyperlink" Target="https://docs.google.com/document/d/1J-i4f_0nQnb8wf_wEkuncPerISQh_tN1k-xkRb109NM/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