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Project Loan Model Update for LIHTC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Summary</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This update improves the accuracy on voluntary prepay projection (CRR) for project loans whose underlying property receives Low Income Housing Tax Credit (LIHTC). In general, project loans with LIHTC tend to prepay slower before the tax credit compliance period ends (year 15). After year 15, the speed returns back to approximately the same level as other project loans.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Algorithm:</w:t>
      </w:r>
    </w:p>
    <w:p w:rsidR="00000000" w:rsidDel="00000000" w:rsidP="00000000" w:rsidRDefault="00000000" w:rsidRPr="00000000" w14:paraId="00000008">
      <w:pPr>
        <w:jc w:val="center"/>
        <w:rPr>
          <w:i w:val="1"/>
          <w:sz w:val="20"/>
          <w:szCs w:val="20"/>
        </w:rPr>
      </w:pPr>
      <w:r w:rsidDel="00000000" w:rsidR="00000000" w:rsidRPr="00000000">
        <w:rPr>
          <w:i w:val="1"/>
          <w:sz w:val="20"/>
          <w:szCs w:val="20"/>
        </w:rPr>
        <w:drawing>
          <wp:inline distB="114300" distT="114300" distL="114300" distR="114300">
            <wp:extent cx="5943600" cy="5257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i w:val="1"/>
          <w:sz w:val="20"/>
          <w:szCs w:val="20"/>
        </w:rPr>
      </w:pPr>
      <w:r w:rsidDel="00000000" w:rsidR="00000000" w:rsidRPr="00000000">
        <w:rPr>
          <w:rtl w:val="0"/>
        </w:rPr>
      </w:r>
    </w:p>
    <w:p w:rsidR="00000000" w:rsidDel="00000000" w:rsidP="00000000" w:rsidRDefault="00000000" w:rsidRPr="00000000" w14:paraId="0000000A">
      <w:pPr>
        <w:jc w:val="left"/>
        <w:rPr>
          <w:b w:val="1"/>
          <w:sz w:val="20"/>
          <w:szCs w:val="20"/>
        </w:rPr>
      </w:pPr>
      <w:r w:rsidDel="00000000" w:rsidR="00000000" w:rsidRPr="00000000">
        <w:rPr>
          <w:b w:val="1"/>
          <w:rtl w:val="0"/>
        </w:rPr>
        <w:t xml:space="preserve">Variables</w:t>
      </w:r>
      <w:r w:rsidDel="00000000" w:rsidR="00000000" w:rsidRPr="00000000">
        <w:rPr>
          <w:b w:val="1"/>
          <w:sz w:val="20"/>
          <w:szCs w:val="20"/>
          <w:rtl w:val="0"/>
        </w:rPr>
        <w:t xml:space="preserve">:</w:t>
      </w:r>
    </w:p>
    <w:p w:rsidR="00000000" w:rsidDel="00000000" w:rsidP="00000000" w:rsidRDefault="00000000" w:rsidRPr="00000000" w14:paraId="0000000B">
      <w:pPr>
        <w:ind w:left="720" w:firstLine="0"/>
        <w:rPr>
          <w:i w:val="1"/>
          <w:sz w:val="20"/>
          <w:szCs w:val="20"/>
        </w:rPr>
      </w:pPr>
      <w:r w:rsidDel="00000000" w:rsidR="00000000" w:rsidRPr="00000000">
        <w:rPr>
          <w:b w:val="1"/>
          <w:i w:val="1"/>
          <w:sz w:val="20"/>
          <w:szCs w:val="20"/>
          <w:rtl w:val="0"/>
        </w:rPr>
        <w:t xml:space="preserve">TC </w:t>
      </w:r>
      <w:r w:rsidDel="00000000" w:rsidR="00000000" w:rsidRPr="00000000">
        <w:rPr>
          <w:i w:val="1"/>
          <w:sz w:val="20"/>
          <w:szCs w:val="20"/>
          <w:rtl w:val="0"/>
        </w:rPr>
        <w:t xml:space="preserve">(tax credit flag):</w:t>
      </w:r>
    </w:p>
    <w:p w:rsidR="00000000" w:rsidDel="00000000" w:rsidP="00000000" w:rsidRDefault="00000000" w:rsidRPr="00000000" w14:paraId="0000000C">
      <w:pPr>
        <w:ind w:left="1440" w:firstLine="0"/>
        <w:rPr>
          <w:b w:val="1"/>
          <w:sz w:val="20"/>
          <w:szCs w:val="20"/>
        </w:rPr>
      </w:pPr>
      <w:r w:rsidDel="00000000" w:rsidR="00000000" w:rsidRPr="00000000">
        <w:rPr>
          <w:i w:val="1"/>
          <w:sz w:val="20"/>
          <w:szCs w:val="20"/>
          <w:rtl w:val="0"/>
        </w:rPr>
        <w:t xml:space="preserve">We use the categories under “</w:t>
      </w:r>
      <w:r w:rsidDel="00000000" w:rsidR="00000000" w:rsidRPr="00000000">
        <w:rPr>
          <w:b w:val="1"/>
          <w:i w:val="1"/>
          <w:sz w:val="20"/>
          <w:szCs w:val="20"/>
          <w:rtl w:val="0"/>
        </w:rPr>
        <w:t xml:space="preserve">Tax Incentive</w:t>
      </w:r>
      <w:r w:rsidDel="00000000" w:rsidR="00000000" w:rsidRPr="00000000">
        <w:rPr>
          <w:i w:val="1"/>
          <w:sz w:val="20"/>
          <w:szCs w:val="20"/>
          <w:rtl w:val="0"/>
        </w:rPr>
        <w:t xml:space="preserve">” (“Credit Only”, “Exemption Only”, “Both”, “None”).</w:t>
      </w:r>
      <w:r w:rsidDel="00000000" w:rsidR="00000000" w:rsidRPr="00000000">
        <w:rPr>
          <w:rtl w:val="0"/>
        </w:rPr>
      </w:r>
    </w:p>
    <w:p w:rsidR="00000000" w:rsidDel="00000000" w:rsidP="00000000" w:rsidRDefault="00000000" w:rsidRPr="00000000" w14:paraId="0000000D">
      <w:pPr>
        <w:ind w:left="720" w:firstLine="0"/>
        <w:rPr>
          <w:i w:val="1"/>
          <w:sz w:val="20"/>
          <w:szCs w:val="20"/>
        </w:rPr>
      </w:pPr>
      <w:r w:rsidDel="00000000" w:rsidR="00000000" w:rsidRPr="00000000">
        <w:rPr>
          <w:b w:val="1"/>
          <w:i w:val="1"/>
          <w:sz w:val="20"/>
          <w:szCs w:val="20"/>
          <w:rtl w:val="0"/>
        </w:rPr>
        <w:t xml:space="preserve">GMSTC </w:t>
      </w:r>
      <w:r w:rsidDel="00000000" w:rsidR="00000000" w:rsidRPr="00000000">
        <w:rPr>
          <w:i w:val="1"/>
          <w:sz w:val="20"/>
          <w:szCs w:val="20"/>
          <w:rtl w:val="0"/>
        </w:rPr>
        <w:t xml:space="preserve">(generalized months since start receiving tax credit):</w:t>
      </w:r>
    </w:p>
    <w:p w:rsidR="00000000" w:rsidDel="00000000" w:rsidP="00000000" w:rsidRDefault="00000000" w:rsidRPr="00000000" w14:paraId="0000000E">
      <w:pPr>
        <w:ind w:left="1440" w:firstLine="0"/>
        <w:rPr>
          <w:i w:val="1"/>
          <w:sz w:val="20"/>
          <w:szCs w:val="20"/>
        </w:rPr>
      </w:pPr>
      <w:r w:rsidDel="00000000" w:rsidR="00000000" w:rsidRPr="00000000">
        <w:rPr>
          <w:i w:val="1"/>
          <w:sz w:val="20"/>
          <w:szCs w:val="20"/>
          <w:rtl w:val="0"/>
        </w:rPr>
        <w:t xml:space="preserve">This is determined as following:</w:t>
      </w:r>
    </w:p>
    <w:p w:rsidR="00000000" w:rsidDel="00000000" w:rsidP="00000000" w:rsidRDefault="00000000" w:rsidRPr="00000000" w14:paraId="0000000F">
      <w:pPr>
        <w:numPr>
          <w:ilvl w:val="0"/>
          <w:numId w:val="2"/>
        </w:numPr>
        <w:ind w:left="2160" w:hanging="360"/>
        <w:rPr>
          <w:i w:val="1"/>
          <w:sz w:val="20"/>
          <w:szCs w:val="20"/>
          <w:u w:val="none"/>
        </w:rPr>
      </w:pPr>
      <w:r w:rsidDel="00000000" w:rsidR="00000000" w:rsidRPr="00000000">
        <w:rPr>
          <w:i w:val="1"/>
          <w:sz w:val="20"/>
          <w:szCs w:val="20"/>
          <w:rtl w:val="0"/>
        </w:rPr>
        <w:t xml:space="preserve">When MSTC is available (not -99999), use MSTC;</w:t>
      </w:r>
    </w:p>
    <w:p w:rsidR="00000000" w:rsidDel="00000000" w:rsidP="00000000" w:rsidRDefault="00000000" w:rsidRPr="00000000" w14:paraId="00000010">
      <w:pPr>
        <w:numPr>
          <w:ilvl w:val="0"/>
          <w:numId w:val="2"/>
        </w:numPr>
        <w:ind w:left="2160" w:hanging="360"/>
        <w:rPr>
          <w:i w:val="1"/>
          <w:sz w:val="20"/>
          <w:szCs w:val="20"/>
          <w:u w:val="none"/>
        </w:rPr>
      </w:pPr>
      <w:r w:rsidDel="00000000" w:rsidR="00000000" w:rsidRPr="00000000">
        <w:rPr>
          <w:i w:val="1"/>
          <w:sz w:val="20"/>
          <w:szCs w:val="20"/>
          <w:rtl w:val="0"/>
        </w:rPr>
        <w:t xml:space="preserve">Otherwise, when MSC is available (not -99999), use MSC;</w:t>
      </w:r>
    </w:p>
    <w:p w:rsidR="00000000" w:rsidDel="00000000" w:rsidP="00000000" w:rsidRDefault="00000000" w:rsidRPr="00000000" w14:paraId="00000011">
      <w:pPr>
        <w:numPr>
          <w:ilvl w:val="0"/>
          <w:numId w:val="2"/>
        </w:numPr>
        <w:ind w:left="2160" w:hanging="360"/>
        <w:rPr>
          <w:i w:val="1"/>
          <w:sz w:val="20"/>
          <w:szCs w:val="20"/>
          <w:u w:val="none"/>
        </w:rPr>
      </w:pPr>
      <w:r w:rsidDel="00000000" w:rsidR="00000000" w:rsidRPr="00000000">
        <w:rPr>
          <w:i w:val="1"/>
          <w:sz w:val="20"/>
          <w:szCs w:val="20"/>
          <w:rtl w:val="0"/>
        </w:rPr>
        <w:t xml:space="preserve">Otherwise, use -99999</w:t>
      </w:r>
    </w:p>
    <w:p w:rsidR="00000000" w:rsidDel="00000000" w:rsidP="00000000" w:rsidRDefault="00000000" w:rsidRPr="00000000" w14:paraId="00000012">
      <w:pPr>
        <w:rPr>
          <w:i w:val="1"/>
          <w:sz w:val="20"/>
          <w:szCs w:val="20"/>
        </w:rPr>
      </w:pPr>
      <w:r w:rsidDel="00000000" w:rsidR="00000000" w:rsidRPr="00000000">
        <w:rPr>
          <w:i w:val="1"/>
          <w:sz w:val="20"/>
          <w:szCs w:val="20"/>
          <w:rtl w:val="0"/>
        </w:rPr>
        <w:tab/>
      </w:r>
      <w:r w:rsidDel="00000000" w:rsidR="00000000" w:rsidRPr="00000000">
        <w:rPr>
          <w:b w:val="1"/>
          <w:i w:val="1"/>
          <w:sz w:val="20"/>
          <w:szCs w:val="20"/>
          <w:rtl w:val="0"/>
        </w:rPr>
        <w:t xml:space="preserve">MSLE </w:t>
      </w:r>
      <w:r w:rsidDel="00000000" w:rsidR="00000000" w:rsidRPr="00000000">
        <w:rPr>
          <w:i w:val="1"/>
          <w:sz w:val="20"/>
          <w:szCs w:val="20"/>
          <w:rtl w:val="0"/>
        </w:rPr>
        <w:t xml:space="preserve">(months since lock-out period end):</w:t>
      </w:r>
    </w:p>
    <w:p w:rsidR="00000000" w:rsidDel="00000000" w:rsidP="00000000" w:rsidRDefault="00000000" w:rsidRPr="00000000" w14:paraId="00000013">
      <w:pPr>
        <w:ind w:left="1440" w:firstLine="0"/>
        <w:rPr>
          <w:i w:val="1"/>
          <w:sz w:val="20"/>
          <w:szCs w:val="20"/>
        </w:rPr>
      </w:pPr>
      <w:r w:rsidDel="00000000" w:rsidR="00000000" w:rsidRPr="00000000">
        <w:rPr>
          <w:i w:val="1"/>
          <w:sz w:val="20"/>
          <w:szCs w:val="20"/>
          <w:rtl w:val="0"/>
        </w:rPr>
        <w:t xml:space="preserve">This is calculated as the difference (in months) between the date when the lock-out period for the loan ends and the factor date</w:t>
      </w:r>
      <w:r w:rsidDel="00000000" w:rsidR="00000000" w:rsidRPr="00000000">
        <w:rPr>
          <w:rtl w:val="0"/>
        </w:rPr>
      </w:r>
    </w:p>
    <w:p w:rsidR="00000000" w:rsidDel="00000000" w:rsidP="00000000" w:rsidRDefault="00000000" w:rsidRPr="00000000" w14:paraId="00000014">
      <w:pPr>
        <w:ind w:left="720" w:firstLine="0"/>
        <w:rPr>
          <w:i w:val="1"/>
          <w:sz w:val="20"/>
          <w:szCs w:val="20"/>
        </w:rPr>
      </w:pPr>
      <w:r w:rsidDel="00000000" w:rsidR="00000000" w:rsidRPr="00000000">
        <w:rPr>
          <w:b w:val="1"/>
          <w:i w:val="1"/>
          <w:sz w:val="20"/>
          <w:szCs w:val="20"/>
          <w:rtl w:val="0"/>
        </w:rPr>
        <w:t xml:space="preserve">MSTC </w:t>
      </w:r>
      <w:r w:rsidDel="00000000" w:rsidR="00000000" w:rsidRPr="00000000">
        <w:rPr>
          <w:i w:val="1"/>
          <w:sz w:val="20"/>
          <w:szCs w:val="20"/>
          <w:rtl w:val="0"/>
        </w:rPr>
        <w:t xml:space="preserve">(months since start receiving tax credit): </w:t>
      </w:r>
    </w:p>
    <w:p w:rsidR="00000000" w:rsidDel="00000000" w:rsidP="00000000" w:rsidRDefault="00000000" w:rsidRPr="00000000" w14:paraId="00000015">
      <w:pPr>
        <w:ind w:left="1440" w:firstLine="0"/>
        <w:rPr>
          <w:i w:val="1"/>
          <w:sz w:val="20"/>
          <w:szCs w:val="20"/>
        </w:rPr>
      </w:pPr>
      <w:r w:rsidDel="00000000" w:rsidR="00000000" w:rsidRPr="00000000">
        <w:rPr>
          <w:i w:val="1"/>
          <w:sz w:val="20"/>
          <w:szCs w:val="20"/>
          <w:rtl w:val="0"/>
        </w:rPr>
        <w:t xml:space="preserve">This is calcu</w:t>
      </w:r>
      <w:r w:rsidDel="00000000" w:rsidR="00000000" w:rsidRPr="00000000">
        <w:rPr>
          <w:i w:val="1"/>
          <w:sz w:val="20"/>
          <w:szCs w:val="20"/>
          <w:rtl w:val="0"/>
        </w:rPr>
        <w:t xml:space="preserve">lat</w:t>
      </w:r>
      <w:r w:rsidDel="00000000" w:rsidR="00000000" w:rsidRPr="00000000">
        <w:rPr>
          <w:i w:val="1"/>
          <w:sz w:val="20"/>
          <w:szCs w:val="20"/>
          <w:rtl w:val="0"/>
        </w:rPr>
        <w:t xml:space="preserve">ed as the difference (in months) between the date when the property start receiving LIHTC (</w:t>
      </w:r>
      <w:r w:rsidDel="00000000" w:rsidR="00000000" w:rsidRPr="00000000">
        <w:rPr>
          <w:b w:val="1"/>
          <w:i w:val="1"/>
          <w:sz w:val="20"/>
          <w:szCs w:val="20"/>
          <w:rtl w:val="0"/>
        </w:rPr>
        <w:t xml:space="preserve">TC Start Date</w:t>
      </w:r>
      <w:r w:rsidDel="00000000" w:rsidR="00000000" w:rsidRPr="00000000">
        <w:rPr>
          <w:i w:val="1"/>
          <w:sz w:val="20"/>
          <w:szCs w:val="20"/>
          <w:rtl w:val="0"/>
        </w:rPr>
        <w:t xml:space="preserve">) and the factor date. This requires a mapping between GPL loans and LIHTC properties, which cannot always be found. In such missing case, use -99999</w:t>
      </w:r>
      <w:r w:rsidDel="00000000" w:rsidR="00000000" w:rsidRPr="00000000">
        <w:rPr>
          <w:i w:val="1"/>
          <w:sz w:val="20"/>
          <w:szCs w:val="20"/>
          <w:vertAlign w:val="superscript"/>
        </w:rPr>
        <w:footnoteReference w:customMarkFollows="0" w:id="0"/>
      </w:r>
      <w:r w:rsidDel="00000000" w:rsidR="00000000" w:rsidRPr="00000000">
        <w:rPr>
          <w:i w:val="1"/>
          <w:sz w:val="20"/>
          <w:szCs w:val="20"/>
          <w:rtl w:val="0"/>
        </w:rPr>
        <w:t xml:space="preserve">.</w:t>
      </w:r>
    </w:p>
    <w:p w:rsidR="00000000" w:rsidDel="00000000" w:rsidP="00000000" w:rsidRDefault="00000000" w:rsidRPr="00000000" w14:paraId="00000016">
      <w:pPr>
        <w:ind w:left="720" w:firstLine="0"/>
        <w:rPr>
          <w:i w:val="1"/>
          <w:sz w:val="20"/>
          <w:szCs w:val="20"/>
        </w:rPr>
      </w:pPr>
      <w:r w:rsidDel="00000000" w:rsidR="00000000" w:rsidRPr="00000000">
        <w:rPr>
          <w:b w:val="1"/>
          <w:i w:val="1"/>
          <w:sz w:val="20"/>
          <w:szCs w:val="20"/>
          <w:rtl w:val="0"/>
        </w:rPr>
        <w:t xml:space="preserve">MSC</w:t>
      </w:r>
      <w:r w:rsidDel="00000000" w:rsidR="00000000" w:rsidRPr="00000000">
        <w:rPr>
          <w:b w:val="1"/>
          <w:i w:val="1"/>
          <w:sz w:val="20"/>
          <w:szCs w:val="20"/>
          <w:vertAlign w:val="superscript"/>
        </w:rPr>
        <w:footnoteReference w:customMarkFollows="0" w:id="1"/>
      </w:r>
      <w:r w:rsidDel="00000000" w:rsidR="00000000" w:rsidRPr="00000000">
        <w:rPr>
          <w:b w:val="1"/>
          <w:i w:val="1"/>
          <w:sz w:val="20"/>
          <w:szCs w:val="20"/>
          <w:rtl w:val="0"/>
        </w:rPr>
        <w:t xml:space="preserve"> </w:t>
      </w:r>
      <w:r w:rsidDel="00000000" w:rsidR="00000000" w:rsidRPr="00000000">
        <w:rPr>
          <w:i w:val="1"/>
          <w:sz w:val="20"/>
          <w:szCs w:val="20"/>
          <w:rtl w:val="0"/>
        </w:rPr>
        <w:t xml:space="preserve">(months since CL conversion date): </w:t>
      </w:r>
    </w:p>
    <w:p w:rsidR="00000000" w:rsidDel="00000000" w:rsidP="00000000" w:rsidRDefault="00000000" w:rsidRPr="00000000" w14:paraId="00000017">
      <w:pPr>
        <w:ind w:left="1440" w:firstLine="0"/>
        <w:rPr>
          <w:i w:val="1"/>
          <w:sz w:val="20"/>
          <w:szCs w:val="20"/>
        </w:rPr>
      </w:pPr>
      <w:r w:rsidDel="00000000" w:rsidR="00000000" w:rsidRPr="00000000">
        <w:rPr>
          <w:i w:val="1"/>
          <w:sz w:val="20"/>
          <w:szCs w:val="20"/>
          <w:rtl w:val="0"/>
        </w:rPr>
        <w:t xml:space="preserve">This is calculated as the difference (in months) between the date when the original CL loan converts and the factor date. This requires a mapping between current GPL loans and their original CL loan, which cannot always be found. In such missing case, use -99999.</w:t>
      </w:r>
    </w:p>
    <w:p w:rsidR="00000000" w:rsidDel="00000000" w:rsidP="00000000" w:rsidRDefault="00000000" w:rsidRPr="00000000" w14:paraId="00000018">
      <w:pPr>
        <w:ind w:left="0" w:firstLine="0"/>
        <w:rPr>
          <w:i w:val="1"/>
          <w:sz w:val="20"/>
          <w:szCs w:val="20"/>
        </w:rPr>
      </w:pPr>
      <w:r w:rsidDel="00000000" w:rsidR="00000000" w:rsidRPr="00000000">
        <w:rPr>
          <w:i w:val="1"/>
          <w:sz w:val="20"/>
          <w:szCs w:val="20"/>
          <w:rtl w:val="0"/>
        </w:rPr>
        <w:tab/>
      </w:r>
      <w:r w:rsidDel="00000000" w:rsidR="00000000" w:rsidRPr="00000000">
        <w:rPr>
          <w:b w:val="1"/>
          <w:i w:val="1"/>
          <w:sz w:val="20"/>
          <w:szCs w:val="20"/>
          <w:rtl w:val="0"/>
        </w:rPr>
        <w:t xml:space="preserve">TC Start Date</w:t>
      </w:r>
      <w:r w:rsidDel="00000000" w:rsidR="00000000" w:rsidRPr="00000000">
        <w:rPr>
          <w:i w:val="1"/>
          <w:sz w:val="20"/>
          <w:szCs w:val="20"/>
          <w:rtl w:val="0"/>
        </w:rPr>
        <w:t xml:space="preserve">: </w:t>
      </w:r>
    </w:p>
    <w:p w:rsidR="00000000" w:rsidDel="00000000" w:rsidP="00000000" w:rsidRDefault="00000000" w:rsidRPr="00000000" w14:paraId="00000019">
      <w:pPr>
        <w:ind w:left="1440" w:firstLine="0"/>
        <w:rPr>
          <w:i w:val="1"/>
          <w:sz w:val="20"/>
          <w:szCs w:val="20"/>
        </w:rPr>
      </w:pPr>
      <w:r w:rsidDel="00000000" w:rsidR="00000000" w:rsidRPr="00000000">
        <w:rPr>
          <w:i w:val="1"/>
          <w:sz w:val="20"/>
          <w:szCs w:val="20"/>
          <w:rtl w:val="0"/>
        </w:rPr>
        <w:t xml:space="preserve">This is the latter of “LIHTC Allocation Date” (</w:t>
      </w:r>
      <w:r w:rsidDel="00000000" w:rsidR="00000000" w:rsidRPr="00000000">
        <w:rPr>
          <w:b w:val="1"/>
          <w:i w:val="1"/>
          <w:sz w:val="20"/>
          <w:szCs w:val="20"/>
          <w:rtl w:val="0"/>
        </w:rPr>
        <w:t xml:space="preserve">yr_alloc</w:t>
      </w:r>
      <w:r w:rsidDel="00000000" w:rsidR="00000000" w:rsidRPr="00000000">
        <w:rPr>
          <w:i w:val="1"/>
          <w:sz w:val="20"/>
          <w:szCs w:val="20"/>
          <w:rtl w:val="0"/>
        </w:rPr>
        <w:t xml:space="preserve">) and “Place In Service Date” (</w:t>
      </w:r>
      <w:r w:rsidDel="00000000" w:rsidR="00000000" w:rsidRPr="00000000">
        <w:rPr>
          <w:b w:val="1"/>
          <w:i w:val="1"/>
          <w:sz w:val="20"/>
          <w:szCs w:val="20"/>
          <w:rtl w:val="0"/>
        </w:rPr>
        <w:t xml:space="preserve">yr_pis</w:t>
      </w:r>
      <w:r w:rsidDel="00000000" w:rsidR="00000000" w:rsidRPr="00000000">
        <w:rPr>
          <w:i w:val="1"/>
          <w:sz w:val="20"/>
          <w:szCs w:val="20"/>
          <w:rtl w:val="0"/>
        </w:rPr>
        <w:t xml:space="preserve">) from the project_loan.lihtcpub table. For the month part, assume Jul-01 (middle of the year) for now.</w:t>
      </w:r>
    </w:p>
    <w:p w:rsidR="00000000" w:rsidDel="00000000" w:rsidP="00000000" w:rsidRDefault="00000000" w:rsidRPr="00000000" w14:paraId="0000001A">
      <w:pPr>
        <w:ind w:left="0" w:firstLine="0"/>
        <w:rPr>
          <w:i w:val="1"/>
          <w:sz w:val="20"/>
          <w:szCs w:val="20"/>
        </w:rPr>
      </w:pPr>
      <w:r w:rsidDel="00000000" w:rsidR="00000000" w:rsidRPr="00000000">
        <w:rPr>
          <w:i w:val="1"/>
          <w:sz w:val="20"/>
          <w:szCs w:val="20"/>
          <w:rtl w:val="0"/>
        </w:rPr>
        <w:tab/>
      </w:r>
    </w:p>
    <w:p w:rsidR="00000000" w:rsidDel="00000000" w:rsidP="00000000" w:rsidRDefault="00000000" w:rsidRPr="00000000" w14:paraId="0000001B">
      <w:pPr>
        <w:ind w:left="0" w:firstLine="0"/>
        <w:rPr>
          <w:i w:val="1"/>
          <w:sz w:val="20"/>
          <w:szCs w:val="20"/>
        </w:rPr>
      </w:pPr>
      <w:r w:rsidDel="00000000" w:rsidR="00000000" w:rsidRPr="00000000">
        <w:rPr>
          <w:rtl w:val="0"/>
        </w:rPr>
      </w:r>
    </w:p>
    <w:p w:rsidR="00000000" w:rsidDel="00000000" w:rsidP="00000000" w:rsidRDefault="00000000" w:rsidRPr="00000000" w14:paraId="0000001C">
      <w:pPr>
        <w:ind w:left="0" w:firstLine="0"/>
        <w:rPr>
          <w:i w:val="1"/>
          <w:sz w:val="20"/>
          <w:szCs w:val="20"/>
        </w:rPr>
      </w:pPr>
      <w:r w:rsidDel="00000000" w:rsidR="00000000" w:rsidRPr="00000000">
        <w:rPr>
          <w:rtl w:val="0"/>
        </w:rPr>
      </w:r>
    </w:p>
    <w:p w:rsidR="00000000" w:rsidDel="00000000" w:rsidP="00000000" w:rsidRDefault="00000000" w:rsidRPr="00000000" w14:paraId="0000001D">
      <w:pPr>
        <w:ind w:left="0" w:firstLine="0"/>
        <w:rPr>
          <w:b w:val="1"/>
        </w:rPr>
      </w:pPr>
      <w:r w:rsidDel="00000000" w:rsidR="00000000" w:rsidRPr="00000000">
        <w:rPr>
          <w:b w:val="1"/>
          <w:rtl w:val="0"/>
        </w:rPr>
        <w:t xml:space="preserve">Curve Description:</w:t>
      </w:r>
    </w:p>
    <w:p w:rsidR="00000000" w:rsidDel="00000000" w:rsidP="00000000" w:rsidRDefault="00000000" w:rsidRPr="00000000" w14:paraId="0000001E">
      <w:pPr>
        <w:ind w:left="720" w:firstLine="0"/>
        <w:rPr/>
      </w:pPr>
      <w:r w:rsidDel="00000000" w:rsidR="00000000" w:rsidRPr="00000000">
        <w:rPr>
          <w:b w:val="1"/>
          <w:sz w:val="20"/>
          <w:szCs w:val="20"/>
          <w:rtl w:val="0"/>
        </w:rPr>
        <w:t xml:space="preserve">Curve</w:t>
      </w:r>
      <w:r w:rsidDel="00000000" w:rsidR="00000000" w:rsidRPr="00000000">
        <w:rPr>
          <w:b w:val="1"/>
          <w:sz w:val="20"/>
          <w:szCs w:val="20"/>
          <w:vertAlign w:val="subscript"/>
          <w:rtl w:val="0"/>
        </w:rPr>
        <w:t xml:space="preserve">t1</w:t>
      </w:r>
      <w:r w:rsidDel="00000000" w:rsidR="00000000" w:rsidRPr="00000000">
        <w:rPr>
          <w:rtl w:val="0"/>
        </w:rPr>
        <w:t xml:space="preserve">: </w:t>
      </w:r>
    </w:p>
    <w:p w:rsidR="00000000" w:rsidDel="00000000" w:rsidP="00000000" w:rsidRDefault="00000000" w:rsidRPr="00000000" w14:paraId="0000001F">
      <w:pPr>
        <w:ind w:left="1440" w:firstLine="0"/>
        <w:rPr>
          <w:b w:val="1"/>
          <w:sz w:val="20"/>
          <w:szCs w:val="20"/>
        </w:rPr>
      </w:pPr>
      <w:r w:rsidDel="00000000" w:rsidR="00000000" w:rsidRPr="00000000">
        <w:rPr>
          <w:rtl w:val="0"/>
        </w:rPr>
        <w:t xml:space="preserve">This is the turnover curve for the case when we know either MSTC or MSC. The x-axis is “Months Since”. The shape of the curve is a spike around year 15, where the LIHTC loans tend to have high non-incentive driven prepayments. Before year 12, the curve is close to 0. Around year 15, the peak is around 1.5. After year 18, the curve returns to 1.</w:t>
      </w:r>
      <w:r w:rsidDel="00000000" w:rsidR="00000000" w:rsidRPr="00000000">
        <w:rPr>
          <w:rtl w:val="0"/>
        </w:rPr>
      </w:r>
    </w:p>
    <w:p w:rsidR="00000000" w:rsidDel="00000000" w:rsidP="00000000" w:rsidRDefault="00000000" w:rsidRPr="00000000" w14:paraId="00000020">
      <w:pPr>
        <w:ind w:left="720" w:firstLine="0"/>
        <w:rPr>
          <w:sz w:val="20"/>
          <w:szCs w:val="20"/>
        </w:rPr>
      </w:pPr>
      <w:r w:rsidDel="00000000" w:rsidR="00000000" w:rsidRPr="00000000">
        <w:rPr>
          <w:b w:val="1"/>
          <w:sz w:val="20"/>
          <w:szCs w:val="20"/>
          <w:rtl w:val="0"/>
        </w:rPr>
        <w:t xml:space="preserve">Curve</w:t>
      </w:r>
      <w:r w:rsidDel="00000000" w:rsidR="00000000" w:rsidRPr="00000000">
        <w:rPr>
          <w:b w:val="1"/>
          <w:sz w:val="20"/>
          <w:szCs w:val="20"/>
          <w:vertAlign w:val="subscript"/>
          <w:rtl w:val="0"/>
        </w:rPr>
        <w:t xml:space="preserve">t2</w:t>
      </w:r>
      <w:r w:rsidDel="00000000" w:rsidR="00000000" w:rsidRPr="00000000">
        <w:rPr>
          <w:sz w:val="20"/>
          <w:szCs w:val="20"/>
          <w:rtl w:val="0"/>
        </w:rPr>
        <w:t xml:space="preserve">: </w:t>
      </w:r>
    </w:p>
    <w:p w:rsidR="00000000" w:rsidDel="00000000" w:rsidP="00000000" w:rsidRDefault="00000000" w:rsidRPr="00000000" w14:paraId="00000021">
      <w:pPr>
        <w:ind w:left="1440" w:firstLine="0"/>
        <w:rPr>
          <w:b w:val="1"/>
          <w:sz w:val="20"/>
          <w:szCs w:val="20"/>
        </w:rPr>
      </w:pPr>
      <w:r w:rsidDel="00000000" w:rsidR="00000000" w:rsidRPr="00000000">
        <w:rPr>
          <w:rtl w:val="0"/>
        </w:rPr>
        <w:t xml:space="preserve">This is the turnover curve for the case when we DO NOT know either MSTC or MSC. The x-axis is “Months Since”. This is a ramp that starts with a value lower than 1 and converges to 1 around month 80.</w:t>
      </w:r>
      <w:r w:rsidDel="00000000" w:rsidR="00000000" w:rsidRPr="00000000">
        <w:rPr>
          <w:rtl w:val="0"/>
        </w:rPr>
      </w:r>
    </w:p>
    <w:p w:rsidR="00000000" w:rsidDel="00000000" w:rsidP="00000000" w:rsidRDefault="00000000" w:rsidRPr="00000000" w14:paraId="00000022">
      <w:pPr>
        <w:ind w:left="720" w:firstLine="0"/>
        <w:rPr>
          <w:sz w:val="20"/>
          <w:szCs w:val="20"/>
        </w:rPr>
      </w:pPr>
      <w:r w:rsidDel="00000000" w:rsidR="00000000" w:rsidRPr="00000000">
        <w:rPr>
          <w:b w:val="1"/>
          <w:sz w:val="20"/>
          <w:szCs w:val="20"/>
          <w:rtl w:val="0"/>
        </w:rPr>
        <w:t xml:space="preserve">Curve</w:t>
      </w:r>
      <w:r w:rsidDel="00000000" w:rsidR="00000000" w:rsidRPr="00000000">
        <w:rPr>
          <w:b w:val="1"/>
          <w:sz w:val="20"/>
          <w:szCs w:val="20"/>
          <w:vertAlign w:val="subscript"/>
          <w:rtl w:val="0"/>
        </w:rPr>
        <w:t xml:space="preserve">r1</w:t>
      </w:r>
      <w:r w:rsidDel="00000000" w:rsidR="00000000" w:rsidRPr="00000000">
        <w:rPr>
          <w:sz w:val="20"/>
          <w:szCs w:val="20"/>
          <w:rtl w:val="0"/>
        </w:rPr>
        <w:t xml:space="preserve">: </w:t>
      </w:r>
    </w:p>
    <w:p w:rsidR="00000000" w:rsidDel="00000000" w:rsidP="00000000" w:rsidRDefault="00000000" w:rsidRPr="00000000" w14:paraId="00000023">
      <w:pPr>
        <w:ind w:left="1440" w:firstLine="0"/>
        <w:rPr>
          <w:b w:val="1"/>
          <w:sz w:val="20"/>
          <w:szCs w:val="20"/>
        </w:rPr>
      </w:pPr>
      <w:r w:rsidDel="00000000" w:rsidR="00000000" w:rsidRPr="00000000">
        <w:rPr>
          <w:rtl w:val="0"/>
        </w:rPr>
        <w:t xml:space="preserve">This is the refinance curve for the case when we know either MSTC or MSC. The x-axis is “Months Since”. The shape of the curve is a ramp that starts with a value lower than 1 and converges to 1 around year 15.</w:t>
      </w:r>
      <w:r w:rsidDel="00000000" w:rsidR="00000000" w:rsidRPr="00000000">
        <w:rPr>
          <w:rtl w:val="0"/>
        </w:rPr>
      </w:r>
    </w:p>
    <w:p w:rsidR="00000000" w:rsidDel="00000000" w:rsidP="00000000" w:rsidRDefault="00000000" w:rsidRPr="00000000" w14:paraId="00000024">
      <w:pPr>
        <w:ind w:left="720" w:firstLine="0"/>
        <w:rPr>
          <w:sz w:val="20"/>
          <w:szCs w:val="20"/>
        </w:rPr>
      </w:pPr>
      <w:r w:rsidDel="00000000" w:rsidR="00000000" w:rsidRPr="00000000">
        <w:rPr>
          <w:b w:val="1"/>
          <w:sz w:val="20"/>
          <w:szCs w:val="20"/>
          <w:rtl w:val="0"/>
        </w:rPr>
        <w:t xml:space="preserve">Curve</w:t>
      </w:r>
      <w:r w:rsidDel="00000000" w:rsidR="00000000" w:rsidRPr="00000000">
        <w:rPr>
          <w:b w:val="1"/>
          <w:sz w:val="20"/>
          <w:szCs w:val="20"/>
          <w:vertAlign w:val="subscript"/>
          <w:rtl w:val="0"/>
        </w:rPr>
        <w:t xml:space="preserve">r2</w:t>
      </w:r>
      <w:r w:rsidDel="00000000" w:rsidR="00000000" w:rsidRPr="00000000">
        <w:rPr>
          <w:sz w:val="20"/>
          <w:szCs w:val="20"/>
          <w:rtl w:val="0"/>
        </w:rPr>
        <w:t xml:space="preserve">: </w:t>
      </w:r>
    </w:p>
    <w:p w:rsidR="00000000" w:rsidDel="00000000" w:rsidP="00000000" w:rsidRDefault="00000000" w:rsidRPr="00000000" w14:paraId="00000025">
      <w:pPr>
        <w:ind w:left="1440" w:firstLine="0"/>
        <w:rPr/>
      </w:pPr>
      <w:r w:rsidDel="00000000" w:rsidR="00000000" w:rsidRPr="00000000">
        <w:rPr>
          <w:rtl w:val="0"/>
        </w:rPr>
        <w:t xml:space="preserve">This is the refinance curve for the case when we DO NOT know either MSTC or MSC. The x-axis is “Months Since”. This is a constant function with a value between 0 and 1.</w:t>
      </w:r>
    </w:p>
    <w:p w:rsidR="00000000" w:rsidDel="00000000" w:rsidP="00000000" w:rsidRDefault="00000000" w:rsidRPr="00000000" w14:paraId="00000026">
      <w:pPr>
        <w:ind w:left="144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Appendix A:</w:t>
      </w:r>
    </w:p>
    <w:p w:rsidR="00000000" w:rsidDel="00000000" w:rsidP="00000000" w:rsidRDefault="00000000" w:rsidRPr="00000000" w14:paraId="0000002A">
      <w:pPr>
        <w:ind w:left="0" w:firstLine="0"/>
        <w:jc w:val="center"/>
        <w:rPr>
          <w:b w:val="1"/>
        </w:rPr>
      </w:pPr>
      <w:r w:rsidDel="00000000" w:rsidR="00000000" w:rsidRPr="00000000">
        <w:rPr>
          <w:b w:val="1"/>
          <w:rtl w:val="0"/>
        </w:rPr>
        <w:t xml:space="preserve">Database Tasks</w:t>
      </w:r>
    </w:p>
    <w:p w:rsidR="00000000" w:rsidDel="00000000" w:rsidP="00000000" w:rsidRDefault="00000000" w:rsidRPr="00000000" w14:paraId="0000002B">
      <w:pPr>
        <w:numPr>
          <w:ilvl w:val="0"/>
          <w:numId w:val="1"/>
        </w:numPr>
        <w:ind w:left="720" w:hanging="360"/>
        <w:rPr>
          <w:b w:val="1"/>
        </w:rPr>
      </w:pPr>
      <w:r w:rsidDel="00000000" w:rsidR="00000000" w:rsidRPr="00000000">
        <w:rPr>
          <w:b w:val="1"/>
          <w:rtl w:val="0"/>
        </w:rPr>
        <w:t xml:space="preserve">HUD Tax Incentive Data</w:t>
      </w:r>
      <w:r w:rsidDel="00000000" w:rsidR="00000000" w:rsidRPr="00000000">
        <w:rPr>
          <w:rtl w:val="0"/>
        </w:rPr>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The dataset updates monthly: </w:t>
      </w:r>
      <w:hyperlink r:id="rId9">
        <w:r w:rsidDel="00000000" w:rsidR="00000000" w:rsidRPr="00000000">
          <w:rPr>
            <w:color w:val="1155cc"/>
            <w:u w:val="single"/>
            <w:rtl w:val="0"/>
          </w:rPr>
          <w:t xml:space="preserve">https://www.hud.gov/program_offices/housing/comp/rpts/mfh/mf_f47/</w:t>
        </w:r>
      </w:hyperlink>
      <w:r w:rsidDel="00000000" w:rsidR="00000000" w:rsidRPr="00000000">
        <w:rPr>
          <w:rtl w:val="0"/>
        </w:rPr>
      </w:r>
    </w:p>
    <w:p w:rsidR="00000000" w:rsidDel="00000000" w:rsidP="00000000" w:rsidRDefault="00000000" w:rsidRPr="00000000" w14:paraId="0000002D">
      <w:pPr>
        <w:numPr>
          <w:ilvl w:val="1"/>
          <w:numId w:val="1"/>
        </w:numPr>
        <w:ind w:left="1440" w:hanging="360"/>
        <w:rPr>
          <w:u w:val="none"/>
        </w:rPr>
      </w:pPr>
      <w:commentRangeStart w:id="0"/>
      <w:commentRangeStart w:id="1"/>
      <w:r w:rsidDel="00000000" w:rsidR="00000000" w:rsidRPr="00000000">
        <w:rPr>
          <w:rtl w:val="0"/>
        </w:rPr>
        <w:t xml:space="preserve">We need a check job that runs after the monthly HUD Tax Incentive downloading job. This check job checks for the change in status against the previous month’s load. The check result will be a report that shows the change in status for each pool.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t xml:space="preserve">Example Check Report (first 10 rows from 2/7/2019 to 2/14/2019 HUD update): </w:t>
      </w:r>
    </w:p>
    <w:p w:rsidR="00000000" w:rsidDel="00000000" w:rsidP="00000000" w:rsidRDefault="00000000" w:rsidRPr="00000000" w14:paraId="0000002F">
      <w:pPr>
        <w:ind w:left="1440" w:firstLine="0"/>
        <w:rPr>
          <w:b w:val="1"/>
        </w:rPr>
      </w:pPr>
      <w:r w:rsidDel="00000000" w:rsidR="00000000" w:rsidRPr="00000000">
        <w:rPr>
          <w:b w:val="1"/>
          <w:rtl w:val="0"/>
        </w:rPr>
        <w:t xml:space="preserve">With impact on model:</w:t>
      </w:r>
    </w:p>
    <w:tbl>
      <w:tblPr>
        <w:tblStyle w:val="Table1"/>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poolNumber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OrigStatus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NewStatus</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BH4360X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BH2538X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AI9453X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TC</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BH6893X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BK2378X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BF5037X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BH5801X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BI1378X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B</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BH2551X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TC</w:t>
            </w:r>
          </w:p>
        </w:tc>
      </w:tr>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BF5035X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B</w:t>
            </w:r>
          </w:p>
        </w:tc>
      </w:tr>
    </w:tbl>
    <w:p w:rsidR="00000000" w:rsidDel="00000000" w:rsidP="00000000" w:rsidRDefault="00000000" w:rsidRPr="00000000" w14:paraId="00000051">
      <w:pPr>
        <w:ind w:left="1440" w:firstLine="0"/>
        <w:rPr/>
      </w:pPr>
      <w:r w:rsidDel="00000000" w:rsidR="00000000" w:rsidRPr="00000000">
        <w:rPr>
          <w:b w:val="1"/>
          <w:rtl w:val="0"/>
        </w:rPr>
        <w:t xml:space="preserve">With no impact on model </w:t>
      </w:r>
      <w:r w:rsidDel="00000000" w:rsidR="00000000" w:rsidRPr="00000000">
        <w:rPr>
          <w:rtl w:val="0"/>
        </w:rPr>
        <w:t xml:space="preserve">(no record):</w:t>
      </w:r>
    </w:p>
    <w:tbl>
      <w:tblPr>
        <w:tblStyle w:val="Table2"/>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poolNumber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OrigStatus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NewStatus</w:t>
            </w:r>
          </w:p>
        </w:tc>
      </w:tr>
    </w:tbl>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Once the new tax incentive labels are approved, update the “Tax Incentive” column of “Scale.gpl_pool_intex” table with the latest.</w:t>
      </w:r>
      <w:r w:rsidDel="00000000" w:rsidR="00000000" w:rsidRPr="00000000">
        <w:rPr>
          <w:rtl w:val="0"/>
        </w:rPr>
      </w:r>
    </w:p>
    <w:p w:rsidR="00000000" w:rsidDel="00000000" w:rsidP="00000000" w:rsidRDefault="00000000" w:rsidRPr="00000000" w14:paraId="00000057">
      <w:pPr>
        <w:ind w:left="1440" w:firstLine="0"/>
        <w:rPr>
          <w:b w:val="1"/>
        </w:rPr>
      </w:pPr>
      <w:r w:rsidDel="00000000" w:rsidR="00000000" w:rsidRPr="00000000">
        <w:rPr>
          <w:rtl w:val="0"/>
        </w:rPr>
      </w:r>
    </w:p>
    <w:p w:rsidR="00000000" w:rsidDel="00000000" w:rsidP="00000000" w:rsidRDefault="00000000" w:rsidRPr="00000000" w14:paraId="00000058">
      <w:pPr>
        <w:numPr>
          <w:ilvl w:val="0"/>
          <w:numId w:val="1"/>
        </w:numPr>
        <w:ind w:left="720" w:hanging="360"/>
        <w:rPr>
          <w:b w:val="1"/>
        </w:rPr>
      </w:pPr>
      <w:r w:rsidDel="00000000" w:rsidR="00000000" w:rsidRPr="00000000">
        <w:rPr>
          <w:b w:val="1"/>
          <w:rtl w:val="0"/>
        </w:rPr>
        <w:t xml:space="preserve">LIHTC Data</w:t>
      </w:r>
      <w:r w:rsidDel="00000000" w:rsidR="00000000" w:rsidRPr="00000000">
        <w:rPr>
          <w:rtl w:val="0"/>
        </w:rPr>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HUD last update in 2016: </w:t>
      </w:r>
      <w:commentRangeStart w:id="2"/>
      <w:commentRangeStart w:id="3"/>
      <w:hyperlink r:id="rId10">
        <w:r w:rsidDel="00000000" w:rsidR="00000000" w:rsidRPr="00000000">
          <w:rPr>
            <w:color w:val="1155cc"/>
            <w:u w:val="single"/>
            <w:rtl w:val="0"/>
          </w:rPr>
          <w:t xml:space="preserve">https://www.huduser.gov/portal/datasets/lihtc.html</w:t>
        </w:r>
      </w:hyperlink>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This table is already loaded into</w:t>
      </w:r>
      <w:r w:rsidDel="00000000" w:rsidR="00000000" w:rsidRPr="00000000">
        <w:rPr>
          <w:rtl w:val="0"/>
        </w:rPr>
        <w:t xml:space="preserve"> project_loan.lihtcpub</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Currently we don’t need a process to check for updates automatically, given this table hasn’t been updated for more than 2 years.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Step 3-5 has to be done for all existing GPL loans and any future GPL loan added: </w:t>
      </w:r>
      <w:r w:rsidDel="00000000" w:rsidR="00000000" w:rsidRPr="00000000">
        <w:rPr>
          <w:rtl w:val="0"/>
        </w:rPr>
      </w:r>
    </w:p>
    <w:p w:rsidR="00000000" w:rsidDel="00000000" w:rsidP="00000000" w:rsidRDefault="00000000" w:rsidRPr="00000000" w14:paraId="0000005E">
      <w:pPr>
        <w:numPr>
          <w:ilvl w:val="0"/>
          <w:numId w:val="1"/>
        </w:numPr>
        <w:ind w:left="720" w:hanging="360"/>
        <w:rPr>
          <w:b w:val="1"/>
        </w:rPr>
      </w:pPr>
      <w:r w:rsidDel="00000000" w:rsidR="00000000" w:rsidRPr="00000000">
        <w:rPr>
          <w:b w:val="1"/>
          <w:rtl w:val="0"/>
        </w:rPr>
        <w:t xml:space="preserve">Property Name / Property Address update </w:t>
      </w:r>
      <w:r w:rsidDel="00000000" w:rsidR="00000000" w:rsidRPr="00000000">
        <w:rPr>
          <w:rtl w:val="0"/>
        </w:rPr>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Create a clean version of the property name and property address from the project_loan."HUDSummary" table, store them separately from the original names</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The example cleaning script can be found here: </w:t>
      </w:r>
      <w:r w:rsidDel="00000000" w:rsidR="00000000" w:rsidRPr="00000000">
        <w:rPr>
          <w:i w:val="1"/>
          <w:u w:val="single"/>
          <w:rtl w:val="0"/>
        </w:rPr>
        <w:t xml:space="preserve">S:\IT\TMP\Hongzhuo\GN PL IO\LIHTC\sql script\Property Name - Address Clean-up.sql</w:t>
      </w:r>
    </w:p>
    <w:p w:rsidR="00000000" w:rsidDel="00000000" w:rsidP="00000000" w:rsidRDefault="00000000" w:rsidRPr="00000000" w14:paraId="00000061">
      <w:pPr>
        <w:numPr>
          <w:ilvl w:val="0"/>
          <w:numId w:val="1"/>
        </w:numPr>
        <w:ind w:left="720" w:hanging="360"/>
        <w:rPr>
          <w:b w:val="1"/>
        </w:rPr>
      </w:pPr>
      <w:r w:rsidDel="00000000" w:rsidR="00000000" w:rsidRPr="00000000">
        <w:rPr>
          <w:b w:val="1"/>
          <w:rtl w:val="0"/>
        </w:rPr>
        <w:t xml:space="preserve">GPL loan to LIHTC mapping</w:t>
      </w:r>
      <w:r w:rsidDel="00000000" w:rsidR="00000000" w:rsidRPr="00000000">
        <w:rPr>
          <w:rtl w:val="0"/>
        </w:rPr>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With the clean address / clean property name we created from task 3, we need to update the mapping table between the LIHTC property table (</w:t>
      </w:r>
      <w:r w:rsidDel="00000000" w:rsidR="00000000" w:rsidRPr="00000000">
        <w:rPr>
          <w:i w:val="1"/>
          <w:rtl w:val="0"/>
        </w:rPr>
        <w:t xml:space="preserve">hud_id</w:t>
      </w:r>
      <w:r w:rsidDel="00000000" w:rsidR="00000000" w:rsidRPr="00000000">
        <w:rPr>
          <w:rtl w:val="0"/>
        </w:rPr>
        <w:t xml:space="preserve">) and the GPL loan table (</w:t>
      </w:r>
      <w:r w:rsidDel="00000000" w:rsidR="00000000" w:rsidRPr="00000000">
        <w:rPr>
          <w:i w:val="1"/>
          <w:rtl w:val="0"/>
        </w:rPr>
        <w:t xml:space="preserve">fhaNumber</w:t>
      </w:r>
      <w:r w:rsidDel="00000000" w:rsidR="00000000" w:rsidRPr="00000000">
        <w:rPr>
          <w:rtl w:val="0"/>
        </w:rPr>
        <w:t xml:space="preserve">)</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The sample mapping script can be found here: </w:t>
      </w:r>
      <w:r w:rsidDel="00000000" w:rsidR="00000000" w:rsidRPr="00000000">
        <w:rPr>
          <w:i w:val="1"/>
          <w:u w:val="single"/>
          <w:rtl w:val="0"/>
        </w:rPr>
        <w:t xml:space="preserve">S:\IT\TMP\Hongzhuo\GN PL IO\LIHTC\sql script\LIHTC - Loan mapping.sql</w:t>
      </w:r>
      <w:r w:rsidDel="00000000" w:rsidR="00000000" w:rsidRPr="00000000">
        <w:rPr>
          <w:rtl w:val="0"/>
        </w:rPr>
        <w:t xml:space="preserve">.</w:t>
      </w:r>
    </w:p>
    <w:p w:rsidR="00000000" w:rsidDel="00000000" w:rsidP="00000000" w:rsidRDefault="00000000" w:rsidRPr="00000000" w14:paraId="00000064">
      <w:pPr>
        <w:numPr>
          <w:ilvl w:val="0"/>
          <w:numId w:val="1"/>
        </w:numPr>
        <w:ind w:left="720" w:hanging="360"/>
        <w:rPr>
          <w:b w:val="1"/>
        </w:rPr>
      </w:pPr>
      <w:r w:rsidDel="00000000" w:rsidR="00000000" w:rsidRPr="00000000">
        <w:rPr>
          <w:b w:val="1"/>
          <w:rtl w:val="0"/>
        </w:rPr>
        <w:t xml:space="preserve">GPL loan to original CL loan mapping</w:t>
      </w:r>
      <w:r w:rsidDel="00000000" w:rsidR="00000000" w:rsidRPr="00000000">
        <w:rPr>
          <w:rtl w:val="0"/>
        </w:rPr>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With the clean address / clean property name we created from task 3, we need to update the refi mapping table that maps a refi project loan to its CL loan.</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The sample mapping script can be found here: </w:t>
      </w:r>
      <w:r w:rsidDel="00000000" w:rsidR="00000000" w:rsidRPr="00000000">
        <w:rPr>
          <w:i w:val="1"/>
          <w:u w:val="single"/>
          <w:rtl w:val="0"/>
        </w:rPr>
        <w:t xml:space="preserve">S:\IT\TMP\Hongzhuo\GN PL IO\LIHTC\sql script\Refi - Orig Loan mapping.sql </w:t>
      </w:r>
      <w:r w:rsidDel="00000000" w:rsidR="00000000" w:rsidRPr="00000000">
        <w:rPr>
          <w:rtl w:val="0"/>
        </w:rPr>
        <w:t xml:space="preserve">(This script uses “property name” as the primary criteria to match, and “property address” as secondary</w:t>
      </w:r>
      <w:r w:rsidDel="00000000" w:rsidR="00000000" w:rsidRPr="00000000">
        <w:rPr>
          <w:vertAlign w:val="superscript"/>
        </w:rPr>
        <w:footnoteReference w:customMarkFollows="0" w:id="2"/>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Appendix B:</w:t>
      </w:r>
    </w:p>
    <w:p w:rsidR="00000000" w:rsidDel="00000000" w:rsidP="00000000" w:rsidRDefault="00000000" w:rsidRPr="00000000" w14:paraId="00000069">
      <w:pPr>
        <w:jc w:val="center"/>
        <w:rPr>
          <w:b w:val="1"/>
        </w:rPr>
      </w:pPr>
      <w:r w:rsidDel="00000000" w:rsidR="00000000" w:rsidRPr="00000000">
        <w:rPr>
          <w:b w:val="1"/>
          <w:rtl w:val="0"/>
        </w:rPr>
        <w:t xml:space="preserve">CDU Update:</w:t>
      </w:r>
    </w:p>
    <w:p w:rsidR="00000000" w:rsidDel="00000000" w:rsidP="00000000" w:rsidRDefault="00000000" w:rsidRPr="00000000" w14:paraId="0000006A">
      <w:pPr>
        <w:numPr>
          <w:ilvl w:val="0"/>
          <w:numId w:val="3"/>
        </w:numPr>
        <w:ind w:left="720" w:hanging="360"/>
        <w:rPr>
          <w:b w:val="1"/>
          <w:u w:val="none"/>
        </w:rPr>
      </w:pPr>
      <w:r w:rsidDel="00000000" w:rsidR="00000000" w:rsidRPr="00000000">
        <w:rPr>
          <w:b w:val="1"/>
          <w:rtl w:val="0"/>
        </w:rPr>
        <w:t xml:space="preserve">Add field “Tax Incentive”:</w:t>
      </w:r>
    </w:p>
    <w:p w:rsidR="00000000" w:rsidDel="00000000" w:rsidP="00000000" w:rsidRDefault="00000000" w:rsidRPr="00000000" w14:paraId="0000006B">
      <w:pPr>
        <w:numPr>
          <w:ilvl w:val="1"/>
          <w:numId w:val="3"/>
        </w:numPr>
        <w:ind w:left="1440" w:hanging="360"/>
        <w:rPr/>
      </w:pPr>
      <w:r w:rsidDel="00000000" w:rsidR="00000000" w:rsidRPr="00000000">
        <w:rPr>
          <w:rtl w:val="0"/>
        </w:rPr>
        <w:t xml:space="preserve">“TaxIncentive” column from table </w:t>
      </w:r>
      <w:r w:rsidDel="00000000" w:rsidR="00000000" w:rsidRPr="00000000">
        <w:rPr>
          <w:i w:val="1"/>
          <w:rtl w:val="0"/>
        </w:rPr>
        <w:t xml:space="preserve">Scale.GPL_Pool_Intex</w:t>
      </w:r>
      <w:r w:rsidDel="00000000" w:rsidR="00000000" w:rsidRPr="00000000">
        <w:rPr>
          <w:rtl w:val="0"/>
        </w:rPr>
      </w:r>
    </w:p>
    <w:p w:rsidR="00000000" w:rsidDel="00000000" w:rsidP="00000000" w:rsidRDefault="00000000" w:rsidRPr="00000000" w14:paraId="0000006C">
      <w:pPr>
        <w:numPr>
          <w:ilvl w:val="0"/>
          <w:numId w:val="3"/>
        </w:numPr>
        <w:ind w:left="720" w:hanging="360"/>
        <w:rPr>
          <w:b w:val="1"/>
          <w:u w:val="none"/>
        </w:rPr>
      </w:pPr>
      <w:r w:rsidDel="00000000" w:rsidR="00000000" w:rsidRPr="00000000">
        <w:rPr>
          <w:b w:val="1"/>
          <w:rtl w:val="0"/>
        </w:rPr>
        <w:t xml:space="preserve">Add field “Generalized Months Since Receiving Tax Credit” (GMSTC):</w:t>
      </w:r>
    </w:p>
    <w:p w:rsidR="00000000" w:rsidDel="00000000" w:rsidP="00000000" w:rsidRDefault="00000000" w:rsidRPr="00000000" w14:paraId="0000006D">
      <w:pPr>
        <w:numPr>
          <w:ilvl w:val="1"/>
          <w:numId w:val="3"/>
        </w:numPr>
        <w:ind w:left="1440" w:hanging="360"/>
        <w:rPr/>
      </w:pPr>
      <w:r w:rsidDel="00000000" w:rsidR="00000000" w:rsidRPr="00000000">
        <w:rPr>
          <w:rtl w:val="0"/>
        </w:rPr>
        <w:t xml:space="preserve">For loans whose “TC Start Date” (discussed above under the variable section) is known through LIHTC property mapping, this field is calculated as month difference between the “TC Start Date” and the factor date</w:t>
      </w:r>
    </w:p>
    <w:p w:rsidR="00000000" w:rsidDel="00000000" w:rsidP="00000000" w:rsidRDefault="00000000" w:rsidRPr="00000000" w14:paraId="0000006E">
      <w:pPr>
        <w:numPr>
          <w:ilvl w:val="1"/>
          <w:numId w:val="3"/>
        </w:numPr>
        <w:ind w:left="1440" w:hanging="360"/>
        <w:rPr>
          <w:u w:val="none"/>
        </w:rPr>
      </w:pPr>
      <w:r w:rsidDel="00000000" w:rsidR="00000000" w:rsidRPr="00000000">
        <w:rPr>
          <w:rtl w:val="0"/>
        </w:rPr>
        <w:t xml:space="preserve">Otherwise, f</w:t>
      </w:r>
      <w:commentRangeStart w:id="4"/>
      <w:commentRangeStart w:id="5"/>
      <w:r w:rsidDel="00000000" w:rsidR="00000000" w:rsidRPr="00000000">
        <w:rPr>
          <w:rtl w:val="0"/>
        </w:rPr>
        <w:t xml:space="preserve">or converted Construction Loans, this field is calculated as the month difference between the issue date and the factor date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F">
      <w:pPr>
        <w:numPr>
          <w:ilvl w:val="1"/>
          <w:numId w:val="3"/>
        </w:numPr>
        <w:ind w:left="1440" w:hanging="360"/>
        <w:rPr>
          <w:u w:val="none"/>
        </w:rPr>
      </w:pPr>
      <w:r w:rsidDel="00000000" w:rsidR="00000000" w:rsidRPr="00000000">
        <w:rPr>
          <w:rtl w:val="0"/>
        </w:rPr>
        <w:t xml:space="preserve">Otherwise, for Construction Loans not converted (CL) yet, this will be a negative number that is the difference between the projected conversion date and the factor date</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Otherwise, for non-Construction Loans whose CL loan is found through refi mapping, this field is calculated as the month difference between the original CL conversion date and the factor date</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Otherwise, use -99999</w:t>
      </w:r>
    </w:p>
    <w:p w:rsidR="00000000" w:rsidDel="00000000" w:rsidP="00000000" w:rsidRDefault="00000000" w:rsidRPr="00000000" w14:paraId="00000072">
      <w:pPr>
        <w:numPr>
          <w:ilvl w:val="0"/>
          <w:numId w:val="3"/>
        </w:numPr>
        <w:ind w:left="720" w:hanging="360"/>
        <w:rPr>
          <w:b w:val="1"/>
        </w:rPr>
      </w:pPr>
      <w:r w:rsidDel="00000000" w:rsidR="00000000" w:rsidRPr="00000000">
        <w:rPr>
          <w:b w:val="1"/>
          <w:rtl w:val="0"/>
        </w:rPr>
        <w:t xml:space="preserve">Add field “Generalized Months Since Receiving Tax Credit - Category” (GMSTC-Category):</w:t>
      </w:r>
    </w:p>
    <w:p w:rsidR="00000000" w:rsidDel="00000000" w:rsidP="00000000" w:rsidRDefault="00000000" w:rsidRPr="00000000" w14:paraId="00000073">
      <w:pPr>
        <w:numPr>
          <w:ilvl w:val="1"/>
          <w:numId w:val="3"/>
        </w:numPr>
        <w:ind w:left="1440" w:hanging="360"/>
      </w:pPr>
      <w:r w:rsidDel="00000000" w:rsidR="00000000" w:rsidRPr="00000000">
        <w:rPr>
          <w:rtl w:val="0"/>
        </w:rPr>
        <w:t xml:space="preserve">For loans whose “TC Start Date” is known through LIHTC property mapping, label as “</w:t>
      </w:r>
      <w:r w:rsidDel="00000000" w:rsidR="00000000" w:rsidRPr="00000000">
        <w:rPr>
          <w:b w:val="1"/>
          <w:rtl w:val="0"/>
        </w:rPr>
        <w:t xml:space="preserve">MSTC</w:t>
      </w:r>
      <w:r w:rsidDel="00000000" w:rsidR="00000000" w:rsidRPr="00000000">
        <w:rPr>
          <w:rtl w:val="0"/>
        </w:rPr>
        <w:t xml:space="preserve">”</w:t>
      </w:r>
    </w:p>
    <w:p w:rsidR="00000000" w:rsidDel="00000000" w:rsidP="00000000" w:rsidRDefault="00000000" w:rsidRPr="00000000" w14:paraId="00000074">
      <w:pPr>
        <w:numPr>
          <w:ilvl w:val="1"/>
          <w:numId w:val="3"/>
        </w:numPr>
        <w:ind w:left="1440" w:hanging="360"/>
      </w:pPr>
      <w:r w:rsidDel="00000000" w:rsidR="00000000" w:rsidRPr="00000000">
        <w:rPr>
          <w:rtl w:val="0"/>
        </w:rPr>
        <w:t xml:space="preserve">Otherwise, for Construction Loans, label as “</w:t>
      </w:r>
      <w:r w:rsidDel="00000000" w:rsidR="00000000" w:rsidRPr="00000000">
        <w:rPr>
          <w:b w:val="1"/>
          <w:rtl w:val="0"/>
        </w:rPr>
        <w:t xml:space="preserve">MSC</w:t>
      </w:r>
      <w:r w:rsidDel="00000000" w:rsidR="00000000" w:rsidRPr="00000000">
        <w:rPr>
          <w:rtl w:val="0"/>
        </w:rPr>
        <w:t xml:space="preserve">”</w:t>
      </w:r>
    </w:p>
    <w:p w:rsidR="00000000" w:rsidDel="00000000" w:rsidP="00000000" w:rsidRDefault="00000000" w:rsidRPr="00000000" w14:paraId="00000075">
      <w:pPr>
        <w:numPr>
          <w:ilvl w:val="1"/>
          <w:numId w:val="3"/>
        </w:numPr>
        <w:ind w:left="1440" w:hanging="360"/>
      </w:pPr>
      <w:r w:rsidDel="00000000" w:rsidR="00000000" w:rsidRPr="00000000">
        <w:rPr>
          <w:rtl w:val="0"/>
        </w:rPr>
        <w:t xml:space="preserve">Otherwise, for non-Construction Loans whose CL loan is found through refi mapping, label as “</w:t>
      </w:r>
      <w:r w:rsidDel="00000000" w:rsidR="00000000" w:rsidRPr="00000000">
        <w:rPr>
          <w:b w:val="1"/>
          <w:rtl w:val="0"/>
        </w:rPr>
        <w:t xml:space="preserve">MSC</w:t>
      </w:r>
      <w:r w:rsidDel="00000000" w:rsidR="00000000" w:rsidRPr="00000000">
        <w:rPr>
          <w:rtl w:val="0"/>
        </w:rPr>
        <w:t xml:space="preserve">”</w:t>
      </w:r>
    </w:p>
    <w:p w:rsidR="00000000" w:rsidDel="00000000" w:rsidP="00000000" w:rsidRDefault="00000000" w:rsidRPr="00000000" w14:paraId="00000076">
      <w:pPr>
        <w:numPr>
          <w:ilvl w:val="1"/>
          <w:numId w:val="3"/>
        </w:numPr>
        <w:ind w:left="1440" w:hanging="360"/>
        <w:rPr>
          <w:u w:val="none"/>
        </w:rPr>
      </w:pPr>
      <w:r w:rsidDel="00000000" w:rsidR="00000000" w:rsidRPr="00000000">
        <w:rPr>
          <w:rtl w:val="0"/>
        </w:rPr>
        <w:t xml:space="preserve">Otherwise, use blank</w:t>
      </w:r>
    </w:p>
    <w:p w:rsidR="00000000" w:rsidDel="00000000" w:rsidP="00000000" w:rsidRDefault="00000000" w:rsidRPr="00000000" w14:paraId="00000077">
      <w:pPr>
        <w:numPr>
          <w:ilvl w:val="0"/>
          <w:numId w:val="3"/>
        </w:numPr>
        <w:ind w:left="720" w:hanging="360"/>
        <w:rPr>
          <w:b w:val="1"/>
          <w:u w:val="none"/>
        </w:rPr>
      </w:pPr>
      <w:r w:rsidDel="00000000" w:rsidR="00000000" w:rsidRPr="00000000">
        <w:rPr>
          <w:b w:val="1"/>
          <w:rtl w:val="0"/>
        </w:rPr>
        <w:t xml:space="preserve">Add field “Months Since Lock-out Period End” (MSLE):</w:t>
      </w:r>
    </w:p>
    <w:p w:rsidR="00000000" w:rsidDel="00000000" w:rsidP="00000000" w:rsidRDefault="00000000" w:rsidRPr="00000000" w14:paraId="00000078">
      <w:pPr>
        <w:numPr>
          <w:ilvl w:val="1"/>
          <w:numId w:val="3"/>
        </w:numPr>
        <w:ind w:left="1440" w:hanging="360"/>
        <w:rPr/>
      </w:pPr>
      <w:r w:rsidDel="00000000" w:rsidR="00000000" w:rsidRPr="00000000">
        <w:rPr>
          <w:rtl w:val="0"/>
        </w:rPr>
        <w:t xml:space="preserve">“monthsSinceLockOutEndDate” column from table </w:t>
      </w:r>
      <w:r w:rsidDel="00000000" w:rsidR="00000000" w:rsidRPr="00000000">
        <w:rPr>
          <w:i w:val="1"/>
          <w:rtl w:val="0"/>
        </w:rPr>
        <w:t xml:space="preserve">Scale.GPL_PoolHist_Intex</w:t>
      </w:r>
    </w:p>
    <w:sectPr>
      <w:pgSz w:h="15840" w:w="12240"/>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hunnip Lee" w:id="2" w:date="2019-05-10T14:19:40Z">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send email to the HUD contact to ask if they are planning to update the data to include loans originated after 2016.</w:t>
      </w:r>
    </w:p>
  </w:comment>
  <w:comment w:author="Hongzhuo Zhang" w:id="3" w:date="2019-05-13T13:19:13Z">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HUD's reply, this LIHTC is updated every year around May/June. There is a 1-3 year lag in data for each update.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Original email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"Hongzhuo,</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LIHTC database is updated every year.  We are preparing the next update for release later this month.  Each fall we collect information from the state housing finance agencies (HFAs) that administer the LIHTC for properties placed in service in the previous calendar year.  For example, last fall (2018) we collected information for properties placed in service in 2017.  Due to delays in several states providing the requested data and time needed to review and clean the data, the database update is usually released in May (and sometimes June) of the year following the collection.  Also, many HFAs are unable to provide a complete list of properties that were placed in service in the data request year.  Thus, the latest placed-in-service year in the database usually contains only about half of the properties that were actually placed in service.  The remainder of these properties are reported with a 1 to 3 year lag."</w:t>
      </w:r>
    </w:p>
  </w:comment>
  <w:comment w:author="Chunnip Lee" w:id="4" w:date="2019-05-10T14:28:21Z">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if you have a construction loan which is not converted yet?  How are you going to differentiate this case from the case of a non-construction loan where you do not know the conversion date?  I think the c++ codewill project this number by adding 1 each month so I think we should try to populate a negative number so that it becomes 0 on the conversion date.</w:t>
      </w:r>
    </w:p>
  </w:comment>
  <w:comment w:author="Hongzhuo Zhang" w:id="5" w:date="2019-05-10T18:02:19Z">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updated the procedure to allow negative MSC for CL loans not converted yet.</w:t>
      </w:r>
    </w:p>
  </w:comment>
  <w:comment w:author="Chunnip Lee" w:id="0" w:date="2019-05-10T14:16:39Z">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need to list the loans where there is a change of status.  The report should be  poolNumber, old tax credit, new tax credit.  Since there are four categories (TC, TE, B,N), we have a total of 12 possible combination.  We should separate out the list into two sections with the first having impact on model and the second do not.    I counted eight changes will impact model and four changes having no impact on model.   Please generate a sample report based on the latest snapshot. When are we taking the monthly snapshot right now?</w:t>
      </w:r>
    </w:p>
  </w:comment>
  <w:comment w:author="Hongzhuo Zhang" w:id="1" w:date="2019-05-10T18:01:03Z">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out of the 12 possibilities, only 8 has impact on the model for now. Potentially we may differentiate "TC" (9% LIHTC) and "B" (4% LIHTC), then the conversion from "TC" to "B" and "B" to "TC" will also have effect.</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latest 2 downloads doesn't have any status change from the previous. Instead, I am showing the status change from '2/7/2019" to illustrate the layout of the check.</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need to check with Purvi about the download schedule from HUD. The most recent 2 load date are "5/7/2019" and "4/10/2019".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MSC works as an alternative to MSTC in the case when MSTC is not available. The motivation is that a property usually gets LIHTC approval before construction, but doesn’t start receiving LIHTC until the property is placed in service. That is about the same time when a construction loan converts. Therefore, the original CL conversion date can be a good approximation for TC start date.</w:t>
      </w:r>
    </w:p>
  </w:footnote>
  <w:footnote w:id="2">
    <w:p w:rsidR="00000000" w:rsidDel="00000000" w:rsidP="00000000" w:rsidRDefault="00000000" w:rsidRPr="00000000" w14:paraId="0000007A">
      <w:pPr>
        <w:spacing w:line="240" w:lineRule="auto"/>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Using property address for matching refi loans is not a reliable solution. It can introduce noise when different loans share the same address. This is most frequently seen when a project has multi-phases and/or several loans. To avoid this type of situation, the script does some special handling when trying to match the address. </w:t>
      </w:r>
      <w:r w:rsidDel="00000000" w:rsidR="00000000" w:rsidRPr="00000000">
        <w:rPr>
          <w:i w:val="1"/>
          <w:sz w:val="20"/>
          <w:szCs w:val="20"/>
          <w:rtl w:val="0"/>
        </w:rPr>
        <w:t xml:space="preserve">*The same issue happens with geographic coordinates as well.</w:t>
      </w:r>
    </w:p>
  </w:footnote>
  <w:footnote w:id="0">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this number can be negative (not -99999) in the case when the LIHTC is applied for after the property is already in service, or when the property applied for another term of LIHTC to cover additional expenses after certain years. It is also possible that the mapping between the LIHTC property and the loan is incorrect.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huduser.gov/portal/datasets/lihtc.html" TargetMode="External"/><Relationship Id="rId9" Type="http://schemas.openxmlformats.org/officeDocument/2006/relationships/hyperlink" Target="https://www.hud.gov/program_offices/housing/comp/rpts/mfh/mf_f47/"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