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HARP 3.0/Streamline Refi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Watt speech (May 2015):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For HARP, we are also going to use this time to explore possible streamlined refinance solutions for </w:t>
      </w:r>
      <w:r w:rsidDel="00000000" w:rsidR="00000000" w:rsidRPr="00000000">
        <w:rPr>
          <w:i w:val="1"/>
          <w:u w:val="single"/>
          <w:rtl w:val="0"/>
        </w:rPr>
        <w:t xml:space="preserve">future Enterprise loans</w:t>
      </w:r>
      <w:r w:rsidDel="00000000" w:rsidR="00000000" w:rsidRPr="00000000">
        <w:rPr>
          <w:i w:val="1"/>
          <w:rtl w:val="0"/>
        </w:rPr>
        <w:t xml:space="preserve">. This evaluation will consider the </w:t>
      </w:r>
      <w:r w:rsidDel="00000000" w:rsidR="00000000" w:rsidRPr="00000000">
        <w:rPr>
          <w:i w:val="1"/>
          <w:u w:val="single"/>
          <w:rtl w:val="0"/>
        </w:rPr>
        <w:t xml:space="preserve">lessons learned from the HARP program </w:t>
      </w:r>
      <w:r w:rsidDel="00000000" w:rsidR="00000000" w:rsidRPr="00000000">
        <w:rPr>
          <w:i w:val="1"/>
          <w:rtl w:val="0"/>
        </w:rPr>
        <w:t xml:space="preserve">and how those might apply in a </w:t>
      </w:r>
      <w:r w:rsidDel="00000000" w:rsidR="00000000" w:rsidRPr="00000000">
        <w:rPr>
          <w:i w:val="1"/>
          <w:u w:val="single"/>
          <w:rtl w:val="0"/>
        </w:rPr>
        <w:t xml:space="preserve">non-crisis environment</w:t>
      </w:r>
      <w:r w:rsidDel="00000000" w:rsidR="00000000" w:rsidRPr="00000000">
        <w:rPr>
          <w:i w:val="1"/>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 GSE Scorecard: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Complete assessment and, as appropriate, begin development of a high loan-to-value ratio refinance program to ensure a January 2017 implementation.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questions: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Prospective/Retroactive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 new HARP going to just apply to post-Jan 2017 loans or previous originations as well?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Clearly, having the program apply just to post-Jan 2017 originations is the best-case scenario for valuations of existing MBS Derivatives. However, it seems likely that some prior originations will qualify for a streamline refi under HARP 3.0. We write “some” because there may be a carve-out for HARP-ed borrowers (in that these borrowers would not qualify for a streamline refi) in order to defend the original MHA/CQ/CR payups.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LTV Restrictions: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currently no streamline refinance program available for mortgages originated after June 2009. This even holds for mortgages with LTVs &lt; 80%.</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Using HARP for a “non-crisis environment” (as per Watt’s comments) could mean making a streamline refinance available for all borrowers including low LTVs. This will broaden the impact of the streamline refi program significantly since a vast majority of post-HARP borrowers are &lt;80% LTV (not including CQ/CR-type mortgages).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HARP for a “non-crisis environment” could also mean a high LTV streamline refinance program without MI grandfathering (i.e., the borrower would have to get a fresh MI policy) but including other features from HARP. Issues with this approach:</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Shuts out borrowers with LTVs &gt; 97% as no private MI is typically available for these LTVs</w:t>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Runs the risk that lending to high LTV borrowers will dry up in housing pullbacks as MIs will restrict underwriting to &gt;80% LTV borrowers in this environment.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Update (3/21/2016): </w:t>
      </w:r>
      <w:r w:rsidDel="00000000" w:rsidR="00000000" w:rsidRPr="00000000">
        <w:rPr>
          <w:rtl w:val="0"/>
        </w:rPr>
        <w:t xml:space="preserve">According to SIFMA, the scope of the new program is confined to 97+ LTV loans. Note that no private MI is currently available above this threshold.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Mortgage Insurance Grandfathering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principle, changes to MI requirements are not completely within the discretion of FHFA/the GSEs: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Require the co-operation of PMI companies: </w:t>
      </w:r>
      <w:r w:rsidDel="00000000" w:rsidR="00000000" w:rsidRPr="00000000">
        <w:rPr>
          <w:rtl w:val="0"/>
        </w:rPr>
        <w:t xml:space="preserve">Likely not an issue since it is in the PMI companies’ interest to allow insured high-LTV borrowers to refinance into a lower mortgage payment and thus decrease the likelihood of default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GSE charter requirement that &gt;80% LTV need to carry MI: </w:t>
      </w:r>
      <w:r w:rsidDel="00000000" w:rsidR="00000000" w:rsidRPr="00000000">
        <w:rPr>
          <w:rtl w:val="0"/>
        </w:rPr>
        <w:t xml:space="preserve">It appears that the FHFA believes that it has the power to override the charter requirement that &gt;80% LTV loans should carry mortgage insurance (see the link below) in the case that the GSE already owns or guarantees the loan. However, it is also clear from reading the FHFA document that the fact that the HARP initiative was time-bound helped in the FHFA reaching this conclusion. A broad-based and unconstrained initiative with respect to LTV might require a higher level of approval.</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Credit Risk Transfer: </w:t>
      </w:r>
      <w:r w:rsidDel="00000000" w:rsidR="00000000" w:rsidRPr="00000000">
        <w:rPr>
          <w:rtl w:val="0"/>
        </w:rPr>
        <w:t xml:space="preserve">The issuance of CAS/STACR deals further complicates this narrative since the GSEs clearly don’t entirely own the credit risk for these loans so that the above argument for MI grandfathering doesn’t apply (although it is hard to imagine CAS/STACR credit risk holders objecting). A second and more interesting point is that the credit risk on these refinanced loans gets transferred back to the GSEs (at least until reissued into a new CRT deal) -- this implies that in a declining LTV argument the GSEs could get long credit risk at the worst possible time (loans that were originally &lt; 80% would use grandfathering principles to argue that no new MI was necessary)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http://www.fhfa.gov/Media/PublicAffairs/PublicAffairsDocuments/HutchinsonGSERefi22009.pdf</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LLPA Changes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