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sq8qqqavhr9m" w:id="0"/>
      <w:bookmarkEnd w:id="0"/>
      <w:r w:rsidDel="00000000" w:rsidR="00000000" w:rsidRPr="00000000">
        <w:rPr>
          <w:b w:val="1"/>
          <w:sz w:val="28"/>
          <w:szCs w:val="28"/>
          <w:rtl w:val="0"/>
        </w:rPr>
        <w:t xml:space="preserve">Agency MBS Prepayment Investment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Investment Strategy is principally focused on targeting prepayment risk in </w:t>
      </w:r>
      <w:r w:rsidDel="00000000" w:rsidR="00000000" w:rsidRPr="00000000">
        <w:rPr>
          <w:b w:val="1"/>
          <w:rtl w:val="0"/>
        </w:rPr>
        <w:t xml:space="preserve">Agency Mortgage-backed Securities (MBS)</w:t>
      </w:r>
      <w:r w:rsidDel="00000000" w:rsidR="00000000" w:rsidRPr="00000000">
        <w:rPr>
          <w:rtl w:val="0"/>
        </w:rPr>
        <w:t xml:space="preserve"> and in particular in </w:t>
      </w:r>
      <w:r w:rsidDel="00000000" w:rsidR="00000000" w:rsidRPr="00000000">
        <w:rPr>
          <w:b w:val="1"/>
          <w:rtl w:val="0"/>
        </w:rPr>
        <w:t xml:space="preserve">Agency Collateralized Mortgage Obligation (CMO) Derivatives</w:t>
      </w:r>
      <w:r w:rsidDel="00000000" w:rsidR="00000000" w:rsidRPr="00000000">
        <w:rPr>
          <w:rtl w:val="0"/>
        </w:rPr>
        <w:t xml:space="preserve">. It generally seeks three sources of return:</w:t>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Gaining</w:t>
      </w:r>
      <w:r w:rsidDel="00000000" w:rsidR="00000000" w:rsidRPr="00000000">
        <w:rPr>
          <w:rtl w:val="0"/>
        </w:rPr>
        <w:t xml:space="preserve"> passive exposure to prepayment risk which typically commands a positive risk premium; and,</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Generating alpha through the a</w:t>
      </w:r>
      <w:r w:rsidDel="00000000" w:rsidR="00000000" w:rsidRPr="00000000">
        <w:rPr>
          <w:rtl w:val="0"/>
        </w:rPr>
        <w:t xml:space="preserve">ctive management of prepayment risk exposures (</w:t>
      </w:r>
      <w:r w:rsidDel="00000000" w:rsidR="00000000" w:rsidRPr="00000000">
        <w:rPr>
          <w:rtl w:val="0"/>
        </w:rPr>
        <w:t xml:space="preserve">scaling prepayment beta as a function of the opportunity set) and through the identification of undervalued CMO Derivative bonds/sectors (</w:t>
      </w:r>
      <w:r w:rsidDel="00000000" w:rsidR="00000000" w:rsidRPr="00000000">
        <w:rPr>
          <w:rtl w:val="0"/>
        </w:rPr>
        <w:t xml:space="preserve">security selection</w:t>
      </w:r>
      <w:r w:rsidDel="00000000" w:rsidR="00000000" w:rsidRPr="00000000">
        <w:rPr>
          <w:rtl w:val="0"/>
        </w:rPr>
        <w:t xml:space="preserve">). </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Generating alpha through execution in the OTC Agency MBS Derivative markets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Given that prepayment risk exposure in and of itself is regarded as a form of “Alternative Beta” that is only weakly correlated with major risk premia such as the stock and bond markets, the Investment Strategy has the potential to generate a risk-return profile that offers compelling diversification benefits.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As of Q1 2017, return targets are 8% pa over a range of market conditions with low annualized volatility.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r w:rsidDel="00000000" w:rsidR="00000000" w:rsidRPr="00000000">
        <w:rPr>
          <w:b w:val="1"/>
          <w:sz w:val="28"/>
          <w:szCs w:val="28"/>
          <w:rtl w:val="0"/>
        </w:rPr>
        <w:t xml:space="preserve">Characteristics of Investable Universe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Agency MBS carry the credit guarantee of the United States government or government-sponsored agencies: Ginnie Mae, Fannie Mae, and Freddie Mac. Agency MBS offer higher yields in return for the cash flow uncertainty arising from borrowers having the option to pay off their mortgages ahead of schedule (</w:t>
      </w:r>
      <w:r w:rsidDel="00000000" w:rsidR="00000000" w:rsidRPr="00000000">
        <w:rPr>
          <w:b w:val="1"/>
          <w:rtl w:val="0"/>
        </w:rPr>
        <w:t xml:space="preserve">prepayment</w:t>
      </w:r>
      <w:r w:rsidDel="00000000" w:rsidR="00000000" w:rsidRPr="00000000">
        <w:rPr>
          <w:rtl w:val="0"/>
        </w:rPr>
        <w:t xml:space="preserve">). Borrowers exercise this option most notably through refinancings, but also through home sales and foreclosures. A host of factors drives borrower prepayment behavior including but not limited to a range of loan and borrower attributes, conditions in the mortgage industry, and government housing policy.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most liquid Agency MBS security is an </w:t>
      </w:r>
      <w:r w:rsidDel="00000000" w:rsidR="00000000" w:rsidRPr="00000000">
        <w:rPr>
          <w:b w:val="1"/>
          <w:rtl w:val="0"/>
        </w:rPr>
        <w:t xml:space="preserve">MBS </w:t>
      </w:r>
      <w:r w:rsidDel="00000000" w:rsidR="00000000" w:rsidRPr="00000000">
        <w:rPr>
          <w:b w:val="1"/>
          <w:rtl w:val="0"/>
        </w:rPr>
        <w:t xml:space="preserve">pool</w:t>
      </w:r>
      <w:r w:rsidDel="00000000" w:rsidR="00000000" w:rsidRPr="00000000">
        <w:rPr>
          <w:rtl w:val="0"/>
        </w:rPr>
        <w:t xml:space="preserve"> </w:t>
      </w:r>
      <w:r w:rsidDel="00000000" w:rsidR="00000000" w:rsidRPr="00000000">
        <w:rPr>
          <w:rtl w:val="0"/>
        </w:rPr>
        <w:t xml:space="preserve">– principal and interest payments on the underlying mortgage loans are distributed to the end investor(s) on a pro-rata basis. CMOs are created by redistributing the cash flows generated by the underlying mortgages to different tranches based on predefined rules. Each tranche has prepayment exposures that are different from those of other tranches and from the underlying collateral. These tranches also offer significantly different spreads in order to compensate investors for heightened or reduced levels of prepayment risk exposure. A </w:t>
      </w:r>
      <w:r w:rsidDel="00000000" w:rsidR="00000000" w:rsidRPr="00000000">
        <w:rPr>
          <w:b w:val="1"/>
          <w:rtl w:val="0"/>
        </w:rPr>
        <w:t xml:space="preserve">CMO Derivative</w:t>
      </w:r>
      <w:r w:rsidDel="00000000" w:rsidR="00000000" w:rsidRPr="00000000">
        <w:rPr>
          <w:rtl w:val="0"/>
        </w:rPr>
        <w:t xml:space="preserve"> is a CMO tranche with intrinsically leveraged exposure to prepayments on the underlying collateral. As of January 2016, the outstanding volume of the Agency MBS and Agency CMO markets was $6.2 trillion and $1.1 trillion respectively. Cello estimates the size of the Agency CMO Derivatives market at $100 billion.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0F">
      <w:pPr>
        <w:spacing w:line="360" w:lineRule="auto"/>
        <w:rPr/>
      </w:pPr>
      <w:r w:rsidDel="00000000" w:rsidR="00000000" w:rsidRPr="00000000">
        <w:rPr>
          <w:rtl w:val="0"/>
        </w:rPr>
        <w:t xml:space="preserve"> </w:t>
      </w:r>
      <w:r w:rsidDel="00000000" w:rsidR="00000000" w:rsidRPr="00000000">
        <w:rPr>
          <w:b w:val="1"/>
          <w:sz w:val="28"/>
          <w:szCs w:val="28"/>
          <w:rtl w:val="0"/>
        </w:rPr>
        <w:t xml:space="preserve">Strategy Risk Factors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rtl w:val="0"/>
        </w:rPr>
        <w:t xml:space="preserve">Prepayment risk </w:t>
      </w:r>
      <w:r w:rsidDel="00000000" w:rsidR="00000000" w:rsidRPr="00000000">
        <w:rPr>
          <w:rtl w:val="0"/>
        </w:rPr>
        <w:t xml:space="preserve">is generally the primary source of risk in the strategy and represents either the difference between actual and expected prepayments or a change in market expectations for forward prepayment rates. Prepayment risk commands a positive risk premium and, in addition, sometimes gets mispriced for the following reasons: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course of creating a customized tranche that offers a targeted yield and risk profile to institutional investors, the CMO structuring process also creates other tranches that offer attractive spreads since they appeal to a more limited set of investors (such as Cello) who have the expertise to analyze the elevated complexity and risk profile associated with such securities (this can be viewed as an example of </w:t>
      </w:r>
      <w:r w:rsidDel="00000000" w:rsidR="00000000" w:rsidRPr="00000000">
        <w:rPr>
          <w:b w:val="1"/>
          <w:rtl w:val="0"/>
        </w:rPr>
        <w:t xml:space="preserve">market segmentation</w:t>
      </w: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Specialized investors who do buy or sell these tranches may choose to do so based on an inaccurate estimate of the future path of prepayment rates (or other factors affecting future returns); and,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with any capital market, the CMO market goes through pricing cycles where investors overreact to/ignore developments in the economic environment that have the potential to significantly change prepayment rates relative to their prevailing levels. These types of situations offer long-horizon managers such as Cello the opportunity to buy assets with unusually elevated risk premiums or to sell assets for which the risk premium does not offer sufficient compensation.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Typically, the greater the amount of prepayment risk in a bond, the higher the likelihood of a mispricing of the risk premium.  Consequently, the investment strategy is biased towards MBS derivatives which are CMO structures that offer the greatest amount of return per unit of risk. There are greater opportunities in these bonds to generate alpha from the market’s mispricing of prepayment behavior. Having said this, the investment strategy does from time to time also invest in fixed-rate CMO structures where spreads are out of line with the underlying risks in the tranches.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In terms of collateral, the Investment Strategy typically invests in CMOs backed by 30-year Conventional (FNMA/FHLMC) or Government (GNMA) collateral since this constitutes the area of greatest mortgage issuance. Less frequently, 15-year or 20-year collateral is also considered.</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Since the Investment Strategy is primarily directed towards taking on prepayment risk, prepayment forecasting and scenario analysis represent a cornerstone. Because there is an element of both random and systematic error associated with prepayment forecasts, it is of crucial importance to determine if there is enough of a wedge between market expectations and manager views on prepayments to invest. Fundamental research on homeowner prepayment behavior is typically captured through a proprietary prepayment model.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prepayment risk premium embedded in CMO Derivatives (and Agency MBS is general) is often estimated through calculating an </w:t>
      </w:r>
      <w:r w:rsidDel="00000000" w:rsidR="00000000" w:rsidRPr="00000000">
        <w:rPr>
          <w:b w:val="1"/>
          <w:rtl w:val="0"/>
        </w:rPr>
        <w:t xml:space="preserve">Option-adjusted spread</w:t>
      </w:r>
      <w:r w:rsidDel="00000000" w:rsidR="00000000" w:rsidRPr="00000000">
        <w:rPr>
          <w:rtl w:val="0"/>
        </w:rPr>
        <w:t xml:space="preserve"> (</w:t>
      </w:r>
      <w:r w:rsidDel="00000000" w:rsidR="00000000" w:rsidRPr="00000000">
        <w:rPr>
          <w:b w:val="1"/>
          <w:rtl w:val="0"/>
        </w:rPr>
        <w:t xml:space="preserve">OAS</w:t>
      </w:r>
      <w:r w:rsidDel="00000000" w:rsidR="00000000" w:rsidRPr="00000000">
        <w:rPr>
          <w:rtl w:val="0"/>
        </w:rPr>
        <w:t xml:space="preserve">). Managers implementing the Agency MBS strategy will sometimes attempt to hedge, limit or offset other exposures in this strategy in favor of isolating the prepayment risk of the position. Concretely, the other key risk factors associated with the strategy are: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Interest rate risk: </w:t>
      </w:r>
      <w:r w:rsidDel="00000000" w:rsidR="00000000" w:rsidRPr="00000000">
        <w:rPr>
          <w:rtl w:val="0"/>
        </w:rPr>
        <w:t xml:space="preserve">Like any fixed-income exposure, prices on CMO Derivative positions change based on overall fluctuations in interest rates. Since mortgage cash flows are (typically) distributed over a long period of time, mortgage valuations are exposed to movements in interest rates across the entire yield curve and to expectations for how volatile these movements will be into the future. Interest rate instruments such as Swap, Eurodollar Futures, and Treasury Futures are used to hedge direct interest rate risk such as LIBOR exposure on certain CMO Derivatives (Inverse IOs) as well as prepayment risk to the extent that prepayments are correlated to interest rates.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MBS basis risk:</w:t>
      </w:r>
      <w:r w:rsidDel="00000000" w:rsidR="00000000" w:rsidRPr="00000000">
        <w:rPr>
          <w:rtl w:val="0"/>
        </w:rPr>
        <w:t xml:space="preserve"> This is the excess spread offered by MBS over benchmark fixed income instruments (Treasuries/Swaps). The current coupon spread is the excess spread offered by the par coupon MBS over the Treasury/Swap curve. A change in this spread translates into a change in mortgage rates and hence prepayment rates even if Treasury/Swap rates do not change. This risk is managed through buying/selling pool MBS.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b w:val="1"/>
          <w:rtl w:val="0"/>
        </w:rPr>
        <w:t xml:space="preserve">Credit risk </w:t>
      </w:r>
      <w:r w:rsidDel="00000000" w:rsidR="00000000" w:rsidRPr="00000000">
        <w:rPr>
          <w:rtl w:val="0"/>
        </w:rPr>
        <w:t xml:space="preserve">is considered to be minimal in Agency MBS since they are guaranteed by government (Ginnie Mae) or quasi-government entities (Fannie Mae, Freddie Mac).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rPr>
          <w:b w:val="1"/>
        </w:rPr>
      </w:pPr>
      <w:r w:rsidDel="00000000" w:rsidR="00000000" w:rsidRPr="00000000">
        <w:rPr>
          <w:rtl w:val="0"/>
        </w:rPr>
        <w:t xml:space="preserve">A final but essential point about the Investment Strategy is that since all transactions in the Agency CMO market are negotiated transactions with the broker-dealers who make markets in these securities (the overall Agency MBS market and the Agency CMO market in particular are OTC markets), specialized managers can generate incremental absolute return through trading execution by leveraging their experience and relationships.</w:t>
      </w:r>
      <w:r w:rsidDel="00000000" w:rsidR="00000000" w:rsidRPr="00000000">
        <w:rPr>
          <w:rtl w:val="0"/>
        </w:rPr>
      </w:r>
    </w:p>
    <w:p w:rsidR="00000000" w:rsidDel="00000000" w:rsidP="00000000" w:rsidRDefault="00000000" w:rsidRPr="00000000" w14:paraId="00000021">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47lanaws11m" w:id="1"/>
      <w:bookmarkEnd w:id="1"/>
      <w:r w:rsidDel="00000000" w:rsidR="00000000" w:rsidRPr="00000000">
        <w:rPr>
          <w:b w:val="1"/>
          <w:sz w:val="28"/>
          <w:szCs w:val="28"/>
          <w:rtl w:val="0"/>
        </w:rPr>
        <w:t xml:space="preserve">Benchmarks for the Agency MBS Prepayment Strategy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There is no official benchmark for the Investment Strategy since its returns stem from a mix of Alpha (market timing, security selection) and Beta (exposure to prepayment risk), and also because there is a shortage of standardized CMO Derivatives. However, in principle one could construct a reasonable proxy benchmark for the Beta component of the Strategy by utilizing </w:t>
      </w:r>
      <w:r w:rsidDel="00000000" w:rsidR="00000000" w:rsidRPr="00000000">
        <w:rPr>
          <w:b w:val="1"/>
          <w:rtl w:val="0"/>
        </w:rPr>
        <w:t xml:space="preserve">Interest-only (IO) </w:t>
      </w:r>
      <w:r w:rsidDel="00000000" w:rsidR="00000000" w:rsidRPr="00000000">
        <w:rPr>
          <w:rtl w:val="0"/>
        </w:rPr>
        <w:t xml:space="preserve">securities.</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IOs can be regarded as benchmarks for determining exposure to prepayment risk because their cash flows correspond to the interest cash flows from MBS pools and as such represent the simplest form of an instrument with substantial intrinsic leverage with respect to prepayment rates.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The most commonly traded IO instruments in the market are </w:t>
      </w:r>
      <w:r w:rsidDel="00000000" w:rsidR="00000000" w:rsidRPr="00000000">
        <w:rPr>
          <w:b w:val="1"/>
          <w:rtl w:val="0"/>
        </w:rPr>
        <w:t xml:space="preserve">IOS indices</w:t>
      </w:r>
      <w:r w:rsidDel="00000000" w:rsidR="00000000" w:rsidRPr="00000000">
        <w:rPr>
          <w:rtl w:val="0"/>
        </w:rPr>
        <w:t xml:space="preserve">. These correspond to synthetic total return swap indices referencing the interest component of 30-year fixed-rate Fannie Mae Agency or Ginnie Mae MBS pools issued during a designated period (2009, 2010, etc.) for a range of coupons (3.5%, 4%, etc.). Economically, a long position in an IOS synthetically replicates a long position in cash Interest Only (IO) instruments financed at 1-month LIBOR.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A </w:t>
      </w:r>
      <w:r w:rsidDel="00000000" w:rsidR="00000000" w:rsidRPr="00000000">
        <w:rPr>
          <w:b w:val="1"/>
          <w:rtl w:val="0"/>
        </w:rPr>
        <w:t xml:space="preserve">Hedged IO Index</w:t>
      </w:r>
      <w:r w:rsidDel="00000000" w:rsidR="00000000" w:rsidRPr="00000000">
        <w:rPr>
          <w:rtl w:val="0"/>
        </w:rPr>
        <w:t xml:space="preserve"> can be created by using a collection of IOS indices with MBS pool and Interest Rate hedges. The Beta component of the Strategy could then be benchmarked to always being 100% invested in the Hedged IO index. Unfortunately, this approach suffers from non-trivial shortcomings: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mortgages backing CMO Derivatives are typically much more concentrated in terms of loan and borrower characteristics than the corresponding IOS.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it is possible to establish both long and short positions in IOS, it is often very difficult to short a CMO Derivative. Technical situations can result where there is a large disconnect between the value of the CMO Derivative and the IOS it is benchmarked 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CMO Derivatives are cash securities whereas IOS are off-balance sheet instruments. Changes in the ease with which broker-dealers can finance their balance sheets and/or changes in margining requirements for derivatives can result in significant movements in the </w:t>
      </w:r>
      <w:r w:rsidDel="00000000" w:rsidR="00000000" w:rsidRPr="00000000">
        <w:rPr>
          <w:b w:val="1"/>
          <w:rtl w:val="0"/>
        </w:rPr>
        <w:t xml:space="preserve">Cash-IOS basis</w:t>
      </w:r>
      <w:r w:rsidDel="00000000" w:rsidR="00000000" w:rsidRPr="00000000">
        <w:rPr>
          <w:rtl w:val="0"/>
        </w:rPr>
        <w:t xml:space="preserve"> (the difference between Cash and IO spreads).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Of course, the benchmark for the Alpha component of the Strategy is the risk-free rate.</w:t>
      </w:r>
    </w:p>
    <w:p w:rsidR="00000000" w:rsidDel="00000000" w:rsidP="00000000" w:rsidRDefault="00000000" w:rsidRPr="00000000" w14:paraId="0000002B">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vimzfynd80pa" w:id="2"/>
      <w:bookmarkEnd w:id="2"/>
      <w:r w:rsidDel="00000000" w:rsidR="00000000" w:rsidRPr="00000000">
        <w:rPr>
          <w:b w:val="1"/>
          <w:sz w:val="28"/>
          <w:szCs w:val="28"/>
          <w:rtl w:val="0"/>
        </w:rPr>
        <w:t xml:space="preserve">Distinguishing Factors of the Agency MBS Prepayment Strategy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The Agency MBS Arbitrage strategy offers three significant benefits: an investment style that allows investors to diversify with respect to bond beta, the ability to add substantial value even in well-diversified portfolios as an alpha generator, and very limited exposure to credit risk: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Bond Beta Substitute: </w:t>
      </w:r>
      <w:r w:rsidDel="00000000" w:rsidR="00000000" w:rsidRPr="00000000">
        <w:rPr>
          <w:rtl w:val="0"/>
        </w:rPr>
        <w:t xml:space="preserve">Prepayment risk  has some inherent correlation with interest rates but active management of this risk exposure can offer superior risk-adjusted returns that still maintain relatively low correlation to bond returns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Alpha Generator: </w:t>
      </w:r>
      <w:r w:rsidDel="00000000" w:rsidR="00000000" w:rsidRPr="00000000">
        <w:rPr>
          <w:rtl w:val="0"/>
        </w:rPr>
        <w:t xml:space="preserve">Relative-value opportunities that are created through the mispricing of prepayment risk in Agency CMOs offer uncorrelated excess returns.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Minimal Exposure to Credit Risk: </w:t>
      </w:r>
      <w:r w:rsidDel="00000000" w:rsidR="00000000" w:rsidRPr="00000000">
        <w:rPr>
          <w:rtl w:val="0"/>
        </w:rPr>
        <w:t xml:space="preserve">Agency MBS are considered to have very low credit risk since they are either guaranteed by the Government (Ginnie Mae) or by quasi-government entities (Fannie Mae, Freddie Mac). In addition, the MBS are also supposed by a first lien on the underlying homes. The Investment Strategy consequently enjoys low correlation to both the Equity and Credit markets.</w:t>
      </w:r>
    </w:p>
    <w:p w:rsidR="00000000" w:rsidDel="00000000" w:rsidP="00000000" w:rsidRDefault="00000000" w:rsidRPr="00000000" w14:paraId="00000030">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5ifoldcta8pi" w:id="3"/>
      <w:bookmarkEnd w:id="3"/>
      <w:r w:rsidDel="00000000" w:rsidR="00000000" w:rsidRPr="00000000">
        <w:rPr>
          <w:b w:val="1"/>
          <w:sz w:val="28"/>
          <w:szCs w:val="28"/>
          <w:rtl w:val="0"/>
        </w:rPr>
        <w:t xml:space="preserve">Weaknesses of the Agency MBS Prepayment Strategy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Since Agency CMOs are a Level 2 asset and an OTC product, there is some amount of liquidity risk in the strategy, particularly if financing leverage is heavily used.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There is also a non-trivial amount of </w:t>
      </w:r>
      <w:r w:rsidDel="00000000" w:rsidR="00000000" w:rsidRPr="00000000">
        <w:rPr>
          <w:b w:val="1"/>
          <w:rtl w:val="0"/>
        </w:rPr>
        <w:t xml:space="preserve">model risk </w:t>
      </w:r>
      <w:r w:rsidDel="00000000" w:rsidR="00000000" w:rsidRPr="00000000">
        <w:rPr>
          <w:rtl w:val="0"/>
        </w:rPr>
        <w:t xml:space="preserve">in the investment process for the Agency MBS strategy. Risk exposures and hedging effectiveness are a function of pricing models – different models will give different answers.</w:t>
      </w:r>
    </w:p>
    <w:p w:rsidR="00000000" w:rsidDel="00000000" w:rsidP="00000000" w:rsidRDefault="00000000" w:rsidRPr="00000000" w14:paraId="00000034">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l9ebll8kuc02" w:id="4"/>
      <w:bookmarkEnd w:id="4"/>
      <w:r w:rsidDel="00000000" w:rsidR="00000000" w:rsidRPr="00000000">
        <w:rPr>
          <w:b w:val="1"/>
          <w:sz w:val="28"/>
          <w:szCs w:val="28"/>
          <w:rtl w:val="0"/>
        </w:rPr>
        <w:t xml:space="preserve">Best/Worst Environment for the Agency MBS Prepayment Strategy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best environment for the strategy is a refinancing environment (where mortgage rates are low relative to history) coupled with a steep yield curve. Negative carry and uncertainty about the magnitude of expected refinance-related prepayments tend to elevate premiums for prepayment risk, while a steep yield curve leads to greater issuance of CMO products and provides a greater flow of mispriced tranches since it is relatively more difficult to price MBS cash flows when they are more spread out over time.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opposite set of conditions lead to the worst environment for the strategy: a low refinancing environment with a flat yield curve.</w:t>
      </w:r>
    </w:p>
    <w:p w:rsidR="00000000" w:rsidDel="00000000" w:rsidP="00000000" w:rsidRDefault="00000000" w:rsidRPr="00000000" w14:paraId="00000038">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ehbo9i5h0ot1" w:id="5"/>
      <w:bookmarkEnd w:id="5"/>
      <w:r w:rsidDel="00000000" w:rsidR="00000000" w:rsidRPr="00000000">
        <w:rPr>
          <w:b w:val="1"/>
          <w:sz w:val="28"/>
          <w:szCs w:val="28"/>
          <w:rtl w:val="0"/>
        </w:rPr>
        <w:t xml:space="preserve">Cello Agency MBS Strategy Investment Process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There are four components to the Investment Process: (A) Risk Factor Allocation; (B) Bond Selection; (C) Execution; and (D) Performance Evaluation.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60" w:lineRule="auto"/>
        <w:rPr>
          <w:b w:val="1"/>
        </w:rPr>
      </w:pPr>
      <w:r w:rsidDel="00000000" w:rsidR="00000000" w:rsidRPr="00000000">
        <w:rPr>
          <w:b w:val="1"/>
          <w:rtl w:val="0"/>
        </w:rPr>
        <w:t xml:space="preserve">A.</w:t>
      </w:r>
      <w:r w:rsidDel="00000000" w:rsidR="00000000" w:rsidRPr="00000000">
        <w:rPr>
          <w:sz w:val="14"/>
          <w:szCs w:val="14"/>
          <w:rtl w:val="0"/>
        </w:rPr>
        <w:t xml:space="preserve"> </w:t>
        <w:tab/>
      </w:r>
      <w:r w:rsidDel="00000000" w:rsidR="00000000" w:rsidRPr="00000000">
        <w:rPr>
          <w:b w:val="1"/>
          <w:rtl w:val="0"/>
        </w:rPr>
        <w:t xml:space="preserve">Risk Factor Allocation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key risk factors managed by the strategy include prepayment risk, interest rate risk (including convexity), and MBS basis risk. The investment process is mostly geared towards extracting alpha from the prepayment risk premium while interest rate risk and MBS basis risk are targeted on a more opportunistic basis. The target level of exposure to prepayment risk premiums is determined through considering the market pricing of prepayment risk, proprietary views on the outlook for prepayments, and a risk budget.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60" w:lineRule="auto"/>
        <w:rPr>
          <w:shd w:fill="b7b7b7" w:val="clear"/>
        </w:rPr>
      </w:pPr>
      <w:r w:rsidDel="00000000" w:rsidR="00000000" w:rsidRPr="00000000">
        <w:rPr>
          <w:shd w:fill="b7b7b7" w:val="clear"/>
          <w:rtl w:val="0"/>
        </w:rPr>
        <w:t xml:space="preserve">The portfolio’s prepayment risk exposure is increased or decreased by buying or selling CMOs or by going long or short IOS. An IOS index is a synthetic total return swap index referencing the interest component of 30-year fixed-rate Fannie Mae Agency or Ginnie Mae MBS pools issued during a designated period (2009, 2010, etc.) for a range of coupons (3.5%, 4%, etc.). Economically, a long position in an IOS synthetically replicates a long position in cash Interest Only (IO) instruments financed at 1-month LIBOR.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360" w:lineRule="auto"/>
        <w:rPr>
          <w:shd w:fill="b7b7b7" w:val="clear"/>
        </w:rPr>
      </w:pPr>
      <w:r w:rsidDel="00000000" w:rsidR="00000000" w:rsidRPr="00000000">
        <w:rPr>
          <w:shd w:fill="b7b7b7" w:val="clear"/>
          <w:rtl w:val="0"/>
        </w:rPr>
        <w:t xml:space="preserve">The prepayment risk exposure (“Net IO” exposure) for the portfolio is calculated in units of basis points of risk and in the equivalent amount of the benchmark IOS risk.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rPr>
          <w:b w:val="1"/>
        </w:rPr>
      </w:pPr>
      <w:r w:rsidDel="00000000" w:rsidR="00000000" w:rsidRPr="00000000">
        <w:rPr>
          <w:b w:val="1"/>
          <w:rtl w:val="0"/>
        </w:rPr>
        <w:t xml:space="preserve">B.</w:t>
      </w:r>
      <w:r w:rsidDel="00000000" w:rsidR="00000000" w:rsidRPr="00000000">
        <w:rPr>
          <w:rtl w:val="0"/>
        </w:rPr>
        <w:t xml:space="preserve">  </w:t>
        <w:tab/>
      </w:r>
      <w:r w:rsidDel="00000000" w:rsidR="00000000" w:rsidRPr="00000000">
        <w:rPr>
          <w:b w:val="1"/>
          <w:rtl w:val="0"/>
        </w:rPr>
        <w:t xml:space="preserve">Security </w:t>
      </w:r>
      <w:r w:rsidDel="00000000" w:rsidR="00000000" w:rsidRPr="00000000">
        <w:rPr>
          <w:rtl w:val="0"/>
        </w:rPr>
        <w:t xml:space="preserve">(</w:t>
      </w:r>
      <w:r w:rsidDel="00000000" w:rsidR="00000000" w:rsidRPr="00000000">
        <w:rPr>
          <w:b w:val="1"/>
          <w:rtl w:val="0"/>
        </w:rPr>
        <w:t xml:space="preserve">Bond) Selection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The risk characteristics of a CMO Derivative tranche are jointly determined by the prepayment characteristics of the underlying loans and the payment rules that define the cash flows of the tranche. Consequently, the security selection process relies both on analyzing the prepayment behavior of the underlying mortgage loans and on understanding how their prepayment risk is enhanced/mitigated through the structure of the CMO Derivative tranche.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Prepayment analysis represents a cornerstone of the strategy and involves modeling a diverse collection of factors that influence borrower prepayment behavior including borrower/loan attributes,  government housing policy, and the overall health of the mortgage lending industry. Prepayment forecasts obtained from this empirical analysis are compared with market expectations as implied by the pricing of various benchmark mortgage derivatives. This analysis leverages a substantial technology infrastructure including a data warehouse that stores prepayment data on millions of mortgage loans, a distributed computing cluster that allows for simulating prepayment forecasts across a range of economic and interest rate scenarios, and a software application that allows for investment managers to access this data and analysis.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The portfolio management team selects the most attractive prepayment themes and sectors, after which cheapest representative securities are chosen based on the bond selection process described above. Each security is mapped to a “subsector” in terms of either the underlying collateral and/or the CMO structure. Portfolio constraints are imposed so that there is not an over-allocation to a specific prepayment theme or structure.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360" w:lineRule="auto"/>
        <w:rPr>
          <w:b w:val="1"/>
        </w:rPr>
      </w:pPr>
      <w:r w:rsidDel="00000000" w:rsidR="00000000" w:rsidRPr="00000000">
        <w:rPr>
          <w:b w:val="1"/>
          <w:rtl w:val="0"/>
        </w:rPr>
        <w:t xml:space="preserve">C.</w:t>
      </w:r>
      <w:r w:rsidDel="00000000" w:rsidR="00000000" w:rsidRPr="00000000">
        <w:rPr>
          <w:sz w:val="14"/>
          <w:szCs w:val="14"/>
          <w:rtl w:val="0"/>
        </w:rPr>
        <w:t xml:space="preserve">     </w:t>
      </w:r>
      <w:r w:rsidDel="00000000" w:rsidR="00000000" w:rsidRPr="00000000">
        <w:rPr>
          <w:b w:val="1"/>
          <w:rtl w:val="0"/>
        </w:rPr>
        <w:t xml:space="preserve">Execution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The investment team’s significant experience in navigating the trading flows in the over-the-counter (OTC) CMO market allows for extracting additional performance from market dynamics. Cello enjoys a broad base of relationships that allows PMs to identify the best bids and offers across market participants.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360" w:lineRule="auto"/>
        <w:rPr>
          <w:b w:val="1"/>
        </w:rPr>
      </w:pPr>
      <w:r w:rsidDel="00000000" w:rsidR="00000000" w:rsidRPr="00000000">
        <w:rPr>
          <w:b w:val="1"/>
          <w:rtl w:val="0"/>
        </w:rPr>
        <w:t xml:space="preserve">D.</w:t>
      </w:r>
      <w:r w:rsidDel="00000000" w:rsidR="00000000" w:rsidRPr="00000000">
        <w:rPr>
          <w:sz w:val="14"/>
          <w:szCs w:val="14"/>
          <w:rtl w:val="0"/>
        </w:rPr>
        <w:t xml:space="preserve">     </w:t>
      </w:r>
      <w:r w:rsidDel="00000000" w:rsidR="00000000" w:rsidRPr="00000000">
        <w:rPr>
          <w:b w:val="1"/>
          <w:rtl w:val="0"/>
        </w:rPr>
        <w:t xml:space="preserve">Performance Evaluation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360" w:lineRule="auto"/>
        <w:rPr/>
      </w:pPr>
      <w:r w:rsidDel="00000000" w:rsidR="00000000" w:rsidRPr="00000000">
        <w:rPr>
          <w:rtl w:val="0"/>
        </w:rPr>
        <w:t xml:space="preserve">This process maps the realized return and risk on a portfolio to its risk factor exposures. This attribution analysis helps identify the effectiveness of strategic and tactical decisions by the investment team with respect to the portfolio.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heart of Cello’s performance evaluation process is a security-level return attribution report that decomposes the total return on a security over a specified holding period (one day) in terms of the typical risk factors that the Agency MBS Arbitrage Strategy is exposed to. These security-level returns are aggregated to the market level or market sector level thus allowing portfolio returns to be decomposed into terms of factor exposures, bond selection, and execution.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rtl w:val="0"/>
        </w:rPr>
        <w:t xml:space="preserve">Research, Analytics, </w:t>
      </w:r>
      <w:r w:rsidDel="00000000" w:rsidR="00000000" w:rsidRPr="00000000">
        <w:rPr>
          <w:rtl w:val="0"/>
        </w:rPr>
        <w:t xml:space="preserve">and</w:t>
      </w:r>
      <w:r w:rsidDel="00000000" w:rsidR="00000000" w:rsidRPr="00000000">
        <w:rPr>
          <w:b w:val="1"/>
          <w:rtl w:val="0"/>
        </w:rPr>
        <w:t xml:space="preserve"> Modeling </w:t>
      </w:r>
      <w:r w:rsidDel="00000000" w:rsidR="00000000" w:rsidRPr="00000000">
        <w:rPr>
          <w:rtl w:val="0"/>
        </w:rPr>
        <w:t xml:space="preserve">are fundamental to the investment process at Cello. Significant resources are devoted to developing and maintaining internal capabilities in these areas and integrating them into the investment and risk management process.</w:t>
      </w:r>
    </w:p>
    <w:p w:rsidR="00000000" w:rsidDel="00000000" w:rsidP="00000000" w:rsidRDefault="00000000" w:rsidRPr="00000000" w14:paraId="0000004C">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hnmra6834bl" w:id="6"/>
      <w:bookmarkEnd w:id="6"/>
      <w:r w:rsidDel="00000000" w:rsidR="00000000" w:rsidRPr="00000000">
        <w:rPr>
          <w:b w:val="1"/>
          <w:sz w:val="28"/>
          <w:szCs w:val="28"/>
          <w:rtl w:val="0"/>
        </w:rPr>
        <w:t xml:space="preserve">Cello’s Implementation of the Agency MBS Arbitrage Strategy and Edge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Generically speaking, Cello uses its extensive experience in analyzing prepayments and CMO structures in order to attempt to ``earn" the option-adjusted spreads (OAS) embedded in these instruments. Cello does not necessarily use the hedges employed in the standard OAS pricing model -- Interest-rate swaps along with Caps/Swaptions but instead (typically) uses a combination of TBAs, Eurodollar Futures, Treasury Futures, Options on Treasury Futures, and Options on Eurodollar Futures to hedge interest rate risk. The expected return on a hedged CMO Derivative position is realized through the OAS implied carry and potential spread tightening as the security price converges to its fair value according to Cello's relative value model. Cello will also attempt to earn additional returns above and beyond the OAS through sector selection, scaling its exposure to prepayment beta (significant drawdowns can be experienced in an MBS Arbitrage strategy that offers passive exposure to prepayment risk since OASs can experience significant widening when mortgage rates hit multi-year lows or in episodes of severe market stress) and through active trading (minimizing transaction costs through negotiation and acting as a liquidity provider at times of market stress).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Cello differentiates itself in terms of how it manages the Agency MBS Arbitrage strategy in the following ways: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Active Scaling of Prepayment Risk (“prepayment beta”)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Cello’s implementation of the Agency MBS Arbitrage strategy does not simply take passive long-only exposure to prepayment risk premiums but instead actively manages its exposure to prepayment beta, prepayment sectors, and specific structures over the interest rate and risk premium cycle.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Focus on Sector Selection and Bond Picking in CMO Derivatives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Substantial technology infrastructure, proprietary analysis, and fundamental prepayment research drive the identification of securities which are currently mispriced with respect to prepayment risk.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Optimization of Portfolio Liquidity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number of individual bond positions is carefully managed to avoid odd lots and an unwieldy number of line items.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Consistent involvement on both sides of the market (i.e., buying and selling) and strong relationships with OTC counterparties enhances knowledge of market levels, liquidity, and technicals.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Structured and Transparent Investment and Risk Management Processes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suite of daily reports is keyed to various components of the investment process and provides transparency on risk factor exposures and the strategic positioning of the portfolio.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Risk management models quantify the Strategy’s risk appetite along with estimating downside risks.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360" w:lineRule="auto"/>
        <w:jc w:val="both"/>
        <w:rPr>
          <w:i w:val="1"/>
        </w:rPr>
      </w:pPr>
      <w:r w:rsidDel="00000000" w:rsidR="00000000" w:rsidRPr="00000000">
        <w:rPr>
          <w:i w:val="1"/>
          <w:rtl w:val="0"/>
        </w:rPr>
        <w:t xml:space="preserve">The Depth and Breadth of the Investment Team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Senior team members average 23 years of experience in portfolio management, research, quantitative modeling and technology, and have worked together for over 15 years in various roles at firms such as Bank of America, Salomon Brothers, and Citadel.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Product experience ranges from Agency pools, Agency CMOs, Non-agency MBS to all aspects of the residential origination, funding and servicing markets.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team enjoys deep relationships with sell-side broker/dealer community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pStyle w:val="Heading1"/>
        <w:keepNext w:val="0"/>
        <w:keepLines w:val="0"/>
        <w:pBdr>
          <w:top w:space="0" w:sz="0" w:val="nil"/>
          <w:left w:space="0" w:sz="0" w:val="nil"/>
          <w:bottom w:space="0" w:sz="0" w:val="nil"/>
          <w:right w:space="0" w:sz="0" w:val="nil"/>
          <w:between w:space="0" w:sz="0" w:val="nil"/>
        </w:pBdr>
        <w:shd w:fill="auto" w:val="clear"/>
        <w:spacing w:before="480" w:line="360" w:lineRule="auto"/>
        <w:rPr>
          <w:b w:val="1"/>
          <w:sz w:val="28"/>
          <w:szCs w:val="28"/>
        </w:rPr>
      </w:pPr>
      <w:bookmarkStart w:colFirst="0" w:colLast="0" w:name="_fsyf4g6uy4yo" w:id="7"/>
      <w:bookmarkEnd w:id="7"/>
      <w:r w:rsidDel="00000000" w:rsidR="00000000" w:rsidRPr="00000000">
        <w:rPr>
          <w:b w:val="1"/>
          <w:sz w:val="28"/>
          <w:szCs w:val="28"/>
          <w:rtl w:val="0"/>
        </w:rPr>
        <w:t xml:space="preserve">Exposure to Interest Rate Risk in the Agency MBS Arbitrage Strategy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Agency CMO Derivatives (and Agency MBS in general) are exposed to interest rates across the entire yield curve. Cello calculates CMO Derivative durations and convexities with respect to different key rates to estimate the exposure of these securities to different parts of the yield curve. To first order, these exposures can usually be hedged out across the yield curve by using a combination of Eurodollar futures, Treasury futures and MBS pools.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Second order convexity effects are most often offset through dynamic hedging. From time to time, Cello will also seek to hedge out convexity risk exposure of its CMO positions by purchasing volatility through the interest-rate options markets (for example, caps, swaptions or options on Treasury Futures).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60" w:lineRule="auto"/>
        <w:rPr>
          <w:highlight w:val="white"/>
        </w:rPr>
      </w:pPr>
      <w:r w:rsidDel="00000000" w:rsidR="00000000" w:rsidRPr="00000000">
        <w:rPr>
          <w:highlight w:val="white"/>
          <w:rtl w:val="0"/>
        </w:rPr>
        <w:t xml:space="preserve">Cello may overlay technical factors, model biases, and its own macro views on interest rates onto existing portfolio exposures thus resulting in an interest rate exposure different from that implied by a strict interpretation of the pricing model’s output.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60" w:lineRule="auto"/>
        <w:rPr>
          <w:highlight w:val="white"/>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360" w:lineRule="auto"/>
        <w:rPr>
          <w:b w:val="1"/>
          <w:sz w:val="28"/>
          <w:szCs w:val="28"/>
        </w:rPr>
      </w:pPr>
      <w:bookmarkStart w:colFirst="0" w:colLast="0" w:name="_b6mqbap6p4e0" w:id="8"/>
      <w:bookmarkEnd w:id="8"/>
      <w:r w:rsidDel="00000000" w:rsidR="00000000" w:rsidRPr="00000000">
        <w:rPr>
          <w:b w:val="1"/>
          <w:sz w:val="28"/>
          <w:szCs w:val="28"/>
          <w:rtl w:val="0"/>
        </w:rPr>
        <w:t xml:space="preserve">Leverage in the Agency MBS Arbitrage Strategy</w:t>
      </w:r>
    </w:p>
    <w:p w:rsidR="00000000" w:rsidDel="00000000" w:rsidP="00000000" w:rsidRDefault="00000000" w:rsidRPr="00000000" w14:paraId="0000006C">
      <w:pPr>
        <w:spacing w:line="360" w:lineRule="auto"/>
        <w:rPr/>
      </w:pPr>
      <w:r w:rsidDel="00000000" w:rsidR="00000000" w:rsidRPr="00000000">
        <w:rPr>
          <w:rtl w:val="0"/>
        </w:rPr>
        <w:t xml:space="preserve">The strategy pursues external (financial) leverage in Agency CMOs through repurchase agreements (repos). The decision to take on this type of leverage is a function of the opportunity set, conditions in the repo market, and cash management needs among other factors. Over its history, Cello has typically used net financial leverage very sparingly.</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Cello sets various “capital limits” for each instrument in the investment portfolio that effectively governs the maximum amount of leverage that the strategy can pursue with respect to that instrument. These leverage limits are typically much more stringent than the amount of leverage available through the market. </w:t>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360" w:lineRule="auto"/>
        <w:rPr>
          <w:b w:val="1"/>
          <w:sz w:val="28"/>
          <w:szCs w:val="28"/>
        </w:rPr>
      </w:pPr>
      <w:bookmarkStart w:colFirst="0" w:colLast="0" w:name="_vqg9d5dxzfsc" w:id="9"/>
      <w:bookmarkEnd w:id="9"/>
      <w:r w:rsidDel="00000000" w:rsidR="00000000" w:rsidRPr="00000000">
        <w:rPr>
          <w:b w:val="1"/>
          <w:sz w:val="28"/>
          <w:szCs w:val="28"/>
          <w:rtl w:val="0"/>
        </w:rPr>
        <w:t xml:space="preserve">Liquidity in the Agency MBS Arbitrage Strategy</w:t>
      </w:r>
    </w:p>
    <w:p w:rsidR="00000000" w:rsidDel="00000000" w:rsidP="00000000" w:rsidRDefault="00000000" w:rsidRPr="00000000" w14:paraId="00000071">
      <w:pPr>
        <w:spacing w:line="360" w:lineRule="auto"/>
        <w:rPr>
          <w:b w:val="1"/>
        </w:rPr>
      </w:pPr>
      <w:r w:rsidDel="00000000" w:rsidR="00000000" w:rsidRPr="00000000">
        <w:rPr>
          <w:rtl w:val="0"/>
        </w:rPr>
        <w:t xml:space="preserve">There are three interrelated dimensions of </w:t>
      </w:r>
      <w:r w:rsidDel="00000000" w:rsidR="00000000" w:rsidRPr="00000000">
        <w:rPr>
          <w:b w:val="1"/>
          <w:rtl w:val="0"/>
        </w:rPr>
        <w:t xml:space="preserve">liquidity:</w:t>
      </w:r>
    </w:p>
    <w:p w:rsidR="00000000" w:rsidDel="00000000" w:rsidP="00000000" w:rsidRDefault="00000000" w:rsidRPr="00000000" w14:paraId="00000072">
      <w:pPr>
        <w:spacing w:line="360" w:lineRule="auto"/>
        <w:rPr>
          <w:b w:val="1"/>
        </w:rPr>
      </w:pP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u w:val="none"/>
        </w:rPr>
      </w:pPr>
      <w:r w:rsidDel="00000000" w:rsidR="00000000" w:rsidRPr="00000000">
        <w:rPr>
          <w:b w:val="1"/>
          <w:rtl w:val="0"/>
        </w:rPr>
        <w:t xml:space="preserve">Funding liquidity: </w:t>
      </w:r>
      <w:r w:rsidDel="00000000" w:rsidR="00000000" w:rsidRPr="00000000">
        <w:rPr>
          <w:rtl w:val="0"/>
        </w:rPr>
        <w:t xml:space="preserve">An investment firm’s ability to trade securities without incurring significant losses either through holding a sufficient amount of cash and/or through being able to borrow money (to finance its positions) at acceptable terms;  </w:t>
      </w:r>
    </w:p>
    <w:p w:rsidR="00000000" w:rsidDel="00000000" w:rsidP="00000000" w:rsidRDefault="00000000" w:rsidRPr="00000000" w14:paraId="00000074">
      <w:pPr>
        <w:numPr>
          <w:ilvl w:val="0"/>
          <w:numId w:val="1"/>
        </w:numPr>
        <w:spacing w:line="360" w:lineRule="auto"/>
        <w:ind w:left="720" w:hanging="360"/>
        <w:rPr>
          <w:u w:val="none"/>
        </w:rPr>
      </w:pPr>
      <w:r w:rsidDel="00000000" w:rsidR="00000000" w:rsidRPr="00000000">
        <w:rPr>
          <w:b w:val="1"/>
          <w:rtl w:val="0"/>
        </w:rPr>
        <w:t xml:space="preserve">Market liquidity: </w:t>
      </w:r>
      <w:r w:rsidDel="00000000" w:rsidR="00000000" w:rsidRPr="00000000">
        <w:rPr>
          <w:rtl w:val="0"/>
        </w:rPr>
        <w:t xml:space="preserve">The transaction costs associated with buying and selling securities; and,</w:t>
      </w:r>
    </w:p>
    <w:p w:rsidR="00000000" w:rsidDel="00000000" w:rsidP="00000000" w:rsidRDefault="00000000" w:rsidRPr="00000000" w14:paraId="00000075">
      <w:pPr>
        <w:numPr>
          <w:ilvl w:val="0"/>
          <w:numId w:val="1"/>
        </w:numPr>
        <w:spacing w:line="360" w:lineRule="auto"/>
        <w:ind w:left="720" w:hanging="360"/>
        <w:rPr>
          <w:u w:val="none"/>
        </w:rPr>
      </w:pPr>
      <w:r w:rsidDel="00000000" w:rsidR="00000000" w:rsidRPr="00000000">
        <w:rPr>
          <w:b w:val="1"/>
          <w:rtl w:val="0"/>
        </w:rPr>
        <w:t xml:space="preserve">Monetary liquidity: </w:t>
      </w:r>
      <w:r w:rsidDel="00000000" w:rsidR="00000000" w:rsidRPr="00000000">
        <w:rPr>
          <w:rtl w:val="0"/>
        </w:rPr>
        <w:t xml:space="preserve">“Easy” monetary policy by the Federal Reserve tends to increase funding and market liquidity, while the opposite is true when the Fed is tightening.</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b w:val="1"/>
        </w:rPr>
      </w:pPr>
      <w:r w:rsidDel="00000000" w:rsidR="00000000" w:rsidRPr="00000000">
        <w:rPr>
          <w:b w:val="1"/>
          <w:rtl w:val="0"/>
        </w:rPr>
        <w:t xml:space="preserve">Market Liquidity</w:t>
      </w:r>
    </w:p>
    <w:p w:rsidR="00000000" w:rsidDel="00000000" w:rsidP="00000000" w:rsidRDefault="00000000" w:rsidRPr="00000000" w14:paraId="00000078">
      <w:pPr>
        <w:spacing w:line="360" w:lineRule="auto"/>
        <w:rPr/>
      </w:pPr>
      <w:r w:rsidDel="00000000" w:rsidR="00000000" w:rsidRPr="00000000">
        <w:rPr>
          <w:rtl w:val="0"/>
        </w:rPr>
        <w:t xml:space="preserve">There are four dimensions to market liquidity:</w:t>
      </w:r>
    </w:p>
    <w:p w:rsidR="00000000" w:rsidDel="00000000" w:rsidP="00000000" w:rsidRDefault="00000000" w:rsidRPr="00000000" w14:paraId="00000079">
      <w:pPr>
        <w:numPr>
          <w:ilvl w:val="0"/>
          <w:numId w:val="4"/>
        </w:numPr>
        <w:spacing w:line="360" w:lineRule="auto"/>
        <w:ind w:left="720" w:hanging="360"/>
        <w:rPr>
          <w:u w:val="none"/>
        </w:rPr>
      </w:pPr>
      <w:r w:rsidDel="00000000" w:rsidR="00000000" w:rsidRPr="00000000">
        <w:rPr>
          <w:b w:val="1"/>
          <w:rtl w:val="0"/>
        </w:rPr>
        <w:t xml:space="preserve">Tightness: </w:t>
      </w:r>
      <w:r w:rsidDel="00000000" w:rsidR="00000000" w:rsidRPr="00000000">
        <w:rPr>
          <w:rtl w:val="0"/>
        </w:rPr>
        <w:t xml:space="preserve">The bid-ask spread</w:t>
      </w:r>
    </w:p>
    <w:p w:rsidR="00000000" w:rsidDel="00000000" w:rsidP="00000000" w:rsidRDefault="00000000" w:rsidRPr="00000000" w14:paraId="0000007A">
      <w:pPr>
        <w:numPr>
          <w:ilvl w:val="0"/>
          <w:numId w:val="4"/>
        </w:numPr>
        <w:spacing w:line="360" w:lineRule="auto"/>
        <w:ind w:left="720" w:hanging="360"/>
        <w:rPr>
          <w:u w:val="none"/>
        </w:rPr>
      </w:pPr>
      <w:r w:rsidDel="00000000" w:rsidR="00000000" w:rsidRPr="00000000">
        <w:rPr>
          <w:b w:val="1"/>
          <w:rtl w:val="0"/>
        </w:rPr>
        <w:t xml:space="preserve">Depth: </w:t>
      </w:r>
      <w:r w:rsidDel="00000000" w:rsidR="00000000" w:rsidRPr="00000000">
        <w:rPr>
          <w:rtl w:val="0"/>
        </w:rPr>
        <w:t xml:space="preserve">The size of a transaction that can be absorbed without affecting prices</w:t>
      </w:r>
    </w:p>
    <w:p w:rsidR="00000000" w:rsidDel="00000000" w:rsidP="00000000" w:rsidRDefault="00000000" w:rsidRPr="00000000" w14:paraId="0000007B">
      <w:pPr>
        <w:numPr>
          <w:ilvl w:val="0"/>
          <w:numId w:val="4"/>
        </w:numPr>
        <w:spacing w:line="360" w:lineRule="auto"/>
        <w:ind w:left="720" w:hanging="360"/>
        <w:rPr>
          <w:u w:val="none"/>
        </w:rPr>
      </w:pPr>
      <w:r w:rsidDel="00000000" w:rsidR="00000000" w:rsidRPr="00000000">
        <w:rPr>
          <w:b w:val="1"/>
          <w:rtl w:val="0"/>
        </w:rPr>
        <w:t xml:space="preserve">Immediacy:</w:t>
      </w:r>
      <w:r w:rsidDel="00000000" w:rsidR="00000000" w:rsidRPr="00000000">
        <w:rPr>
          <w:rtl w:val="0"/>
        </w:rPr>
        <w:t xml:space="preserve"> The speed with which orders can be executed</w:t>
      </w:r>
    </w:p>
    <w:p w:rsidR="00000000" w:rsidDel="00000000" w:rsidP="00000000" w:rsidRDefault="00000000" w:rsidRPr="00000000" w14:paraId="0000007C">
      <w:pPr>
        <w:numPr>
          <w:ilvl w:val="0"/>
          <w:numId w:val="4"/>
        </w:numPr>
        <w:spacing w:line="360" w:lineRule="auto"/>
        <w:ind w:left="720" w:hanging="360"/>
        <w:rPr>
          <w:u w:val="none"/>
        </w:rPr>
      </w:pPr>
      <w:r w:rsidDel="00000000" w:rsidR="00000000" w:rsidRPr="00000000">
        <w:rPr>
          <w:b w:val="1"/>
          <w:rtl w:val="0"/>
        </w:rPr>
        <w:t xml:space="preserve">Resiliency: </w:t>
      </w:r>
      <w:r w:rsidDel="00000000" w:rsidR="00000000" w:rsidRPr="00000000">
        <w:rPr>
          <w:rtl w:val="0"/>
        </w:rPr>
        <w:t xml:space="preserve">The ease with which prices return to “normal”</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t xml:space="preserve">One popular market liquidity risk metric that combines some (but not all) of these dimensions is the notion of </w:t>
      </w:r>
      <w:r w:rsidDel="00000000" w:rsidR="00000000" w:rsidRPr="00000000">
        <w:rPr>
          <w:b w:val="1"/>
          <w:rtl w:val="0"/>
        </w:rPr>
        <w:t xml:space="preserve">days-to-liquidation </w:t>
      </w:r>
      <w:r w:rsidDel="00000000" w:rsidR="00000000" w:rsidRPr="00000000">
        <w:rPr>
          <w:rtl w:val="0"/>
        </w:rPr>
        <w:t xml:space="preserve">(based on current market conditions) -- the number of days in which a position would be convertible to cash at a price that does not materially affect the value of the asset. In principle, this can be calculated for any position based on the average daily trading volume (typically, we take the average over the last 3 months). Unfortunately, the metric is somewhat ambiguous about whether bid-ask spreads should be incorporated (these can be significant for structured products) in this determination and what constitutes a “material” impact.</w:t>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t xml:space="preserve">This metric is not straightforward to calculate for Agency CMOs/Derivatives because of the lack of homogeneity and absence of granular post-trade transparency on individual bonds (through TRACE, for example). However, one can get a general sense by looking at daily TRACE volumes for Agency MBS Derivatives.</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Generally speaking, the PM team roughly estimates that the days-to-liquidation for a $250-500mm MBS Derivative portfolio would average between two to six weeks in most environments (a shorter answer would be to say “within 4 weeks”).</w:t>
      </w:r>
    </w:p>
    <w:p w:rsidR="00000000" w:rsidDel="00000000" w:rsidP="00000000" w:rsidRDefault="00000000" w:rsidRPr="00000000" w14:paraId="00000083">
      <w:pPr>
        <w:pStyle w:val="Heading1"/>
        <w:keepNext w:val="0"/>
        <w:keepLines w:val="0"/>
        <w:spacing w:before="480" w:line="360" w:lineRule="auto"/>
        <w:rPr>
          <w:b w:val="1"/>
          <w:sz w:val="28"/>
          <w:szCs w:val="28"/>
        </w:rPr>
      </w:pPr>
      <w:bookmarkStart w:colFirst="0" w:colLast="0" w:name="_13b1e9n9yhol" w:id="10"/>
      <w:bookmarkEnd w:id="10"/>
      <w:r w:rsidDel="00000000" w:rsidR="00000000" w:rsidRPr="00000000">
        <w:rPr>
          <w:b w:val="1"/>
          <w:sz w:val="28"/>
          <w:szCs w:val="28"/>
          <w:rtl w:val="0"/>
        </w:rPr>
        <w:t xml:space="preserve">Opportunity Set</w:t>
      </w:r>
    </w:p>
    <w:p w:rsidR="00000000" w:rsidDel="00000000" w:rsidP="00000000" w:rsidRDefault="00000000" w:rsidRPr="00000000" w14:paraId="00000084">
      <w:pPr>
        <w:spacing w:line="360" w:lineRule="auto"/>
        <w:rPr/>
      </w:pPr>
      <w:r w:rsidDel="00000000" w:rsidR="00000000" w:rsidRPr="00000000">
        <w:rPr>
          <w:rtl w:val="0"/>
        </w:rPr>
        <w:t xml:space="preserve">There are persistent structural inefficiencies in the Agency CMO sector:</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Homeowner prepayment behavior is driven by a complex mixture of individual and institutional factors and there can be considerable dispersion in the expectations of market participants;</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 Certain CMO structures can be hard to value thus limiting the base of potential investors; </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There are high barriers to entry because of the complexity of MBS pricing and the required extensive investments in personnel and analytics infrastructure; and </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rtl w:val="0"/>
        </w:rPr>
        <w:t xml:space="preserve">The OTC nature of the Agency CMO market creates persistent inefficiencies in pricing.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sz w:val="28"/>
          <w:szCs w:val="28"/>
          <w:rtl w:val="0"/>
        </w:rPr>
        <w:t xml:space="preserve">Investment Philosophy</w:t>
      </w:r>
      <w:r w:rsidDel="00000000" w:rsidR="00000000" w:rsidRPr="00000000">
        <w:rPr>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investment philosophy is guided by the following principles: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Attention to detail – Careful screening of market data and pricing models are a starting point for investment analysis since many investor errors occur from taking either of these two sources of information at face value.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“All models are wrong, but some are useful” – Frameworks/models are by their nature backward looking and it is a mistake to place too much trust in them. “Unprecedented” events occur fairly regularly in financial markets. The future is often different from the past and the present. All of these risks can be managed to some extent through painstaking stress-testing, scenario analysis, and a fundamentally skeptical/critical approach to investing.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Optimizing Portfolio Liquidity – Market liquidity can sometimes be illusory and needs to be monitored consistently. Active engagement with the market enhances knowledge of market levels, liquidity and technicals.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“Respect the market…” – Market pricing should always be respected. Apparent pricing inefficiencies often turn out to be illusory on closer examination. Keeping abreast of market developments needs to be a sustained commitment since markets are always evolving and valuation/risk management tools and techniques need to be refreshed to keep pace.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 but realize that it can often overshoot” – Cycles are a permanent part of the capital markets; investors often tend to be too fearful or too greedy.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Never underestimating tail risk – “Stress scenarios” materialize more frequently in markets than often assumed and need to be explicitly accounted for in sizing up the risks associated with a particular investment.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