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002">
      <w:pPr>
        <w:rPr>
          <w:sz w:val="24"/>
          <w:szCs w:val="24"/>
        </w:rPr>
      </w:pPr>
      <w:r w:rsidDel="00000000" w:rsidR="00000000" w:rsidRPr="00000000">
        <w:rPr>
          <w:sz w:val="24"/>
          <w:szCs w:val="24"/>
          <w:rtl w:val="0"/>
        </w:rPr>
        <w:t xml:space="preserve">A key decision in an Agency MBS Prepayment Strategy is determining how much exposure one should take to </w:t>
      </w:r>
      <w:r w:rsidDel="00000000" w:rsidR="00000000" w:rsidRPr="00000000">
        <w:rPr>
          <w:b w:val="1"/>
          <w:sz w:val="24"/>
          <w:szCs w:val="24"/>
          <w:rtl w:val="0"/>
        </w:rPr>
        <w:t xml:space="preserve">prepayment risk</w:t>
      </w:r>
      <w:r w:rsidDel="00000000" w:rsidR="00000000" w:rsidRPr="00000000">
        <w:rPr>
          <w:sz w:val="24"/>
          <w:szCs w:val="24"/>
          <w:rtl w:val="0"/>
        </w:rPr>
        <w:t xml:space="preserve">. We outline the many considerations that go into this decision. One important conclusion is that one should more or less avoid making prepayment risk exposure changes through exchanging Structured Derivatives with cash and instead largely rely on relative value considerations for replacing “rich” Structured Derivatives with “cheap” ones. However, changes to prepayment risk exposure may be warranted in a situation where MBS Derivatives have a decidedly asymmetric risk profile which will typically correspond to an inflection point for the Media Effect.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Risk Factors in Agency MBS</w:t>
      </w:r>
    </w:p>
    <w:p w:rsidR="00000000" w:rsidDel="00000000" w:rsidP="00000000" w:rsidRDefault="00000000" w:rsidRPr="00000000" w14:paraId="00000005">
      <w:pPr>
        <w:rPr>
          <w:sz w:val="24"/>
          <w:szCs w:val="24"/>
        </w:rPr>
      </w:pPr>
      <w:r w:rsidDel="00000000" w:rsidR="00000000" w:rsidRPr="00000000">
        <w:rPr>
          <w:sz w:val="24"/>
          <w:szCs w:val="24"/>
          <w:rtl w:val="0"/>
        </w:rPr>
        <w:t xml:space="preserve">Any investment strategy that targets investing in Agency MBS will by default gain exposure to the risk factors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associated with this asset class. These factors are: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b w:val="1"/>
          <w:sz w:val="24"/>
          <w:szCs w:val="24"/>
          <w:rtl w:val="0"/>
        </w:rPr>
        <w:t xml:space="preserve">Prepayment Risk:</w:t>
      </w:r>
      <w:r w:rsidDel="00000000" w:rsidR="00000000" w:rsidRPr="00000000">
        <w:rPr>
          <w:sz w:val="24"/>
          <w:szCs w:val="24"/>
          <w:rtl w:val="0"/>
        </w:rPr>
        <w:t xml:space="preserve"> The difference between actual and expected prepayments or a change in market expectations for forward prepayment rates.</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b w:val="1"/>
          <w:sz w:val="24"/>
          <w:szCs w:val="24"/>
          <w:rtl w:val="0"/>
        </w:rPr>
        <w:t xml:space="preserve">Interest-rate Risk: </w:t>
      </w:r>
      <w:r w:rsidDel="00000000" w:rsidR="00000000" w:rsidRPr="00000000">
        <w:rPr>
          <w:sz w:val="24"/>
          <w:szCs w:val="24"/>
          <w:rtl w:val="0"/>
        </w:rPr>
        <w:t xml:space="preserve">Since mortgage cash flows are (typically) distributed over a long period of time, mortgage valuations are exposed to movements in interest rates across the entire yield curve and to expectations for how volatile these movements will be into the future.</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b w:val="1"/>
          <w:sz w:val="24"/>
          <w:szCs w:val="24"/>
          <w:rtl w:val="0"/>
        </w:rPr>
        <w:t xml:space="preserve">MBS Basis Risk:</w:t>
      </w:r>
      <w:r w:rsidDel="00000000" w:rsidR="00000000" w:rsidRPr="00000000">
        <w:rPr>
          <w:sz w:val="24"/>
          <w:szCs w:val="24"/>
          <w:rtl w:val="0"/>
        </w:rPr>
        <w:t xml:space="preserve"> The </w:t>
      </w:r>
      <w:r w:rsidDel="00000000" w:rsidR="00000000" w:rsidRPr="00000000">
        <w:rPr>
          <w:b w:val="1"/>
          <w:sz w:val="24"/>
          <w:szCs w:val="24"/>
          <w:rtl w:val="0"/>
        </w:rPr>
        <w:t xml:space="preserve">MBS Basis</w:t>
      </w:r>
      <w:r w:rsidDel="00000000" w:rsidR="00000000" w:rsidRPr="00000000">
        <w:rPr>
          <w:sz w:val="24"/>
          <w:szCs w:val="24"/>
          <w:rtl w:val="0"/>
        </w:rPr>
        <w:t xml:space="preserve"> is the excess spread offered by MBS over benchmark fixed income instruments (Treasuries/Swaps). A change in this spread translates into a change in mortgage rates and hence prepayment rates even if Treasury/Swap rates do not change. </w:t>
      </w:r>
    </w:p>
    <w:p w:rsidR="00000000" w:rsidDel="00000000" w:rsidP="00000000" w:rsidRDefault="00000000" w:rsidRPr="00000000" w14:paraId="0000000A">
      <w:pPr>
        <w:numPr>
          <w:ilvl w:val="0"/>
          <w:numId w:val="3"/>
        </w:numPr>
        <w:ind w:left="720" w:hanging="360"/>
        <w:rPr>
          <w:b w:val="1"/>
          <w:sz w:val="24"/>
          <w:szCs w:val="24"/>
        </w:rPr>
      </w:pPr>
      <w:r w:rsidDel="00000000" w:rsidR="00000000" w:rsidRPr="00000000">
        <w:rPr>
          <w:b w:val="1"/>
          <w:sz w:val="24"/>
          <w:szCs w:val="24"/>
          <w:rtl w:val="0"/>
        </w:rPr>
        <w:t xml:space="preserve">Volatility Risk: </w:t>
      </w:r>
      <w:r w:rsidDel="00000000" w:rsidR="00000000" w:rsidRPr="00000000">
        <w:rPr>
          <w:sz w:val="24"/>
          <w:szCs w:val="24"/>
          <w:rtl w:val="0"/>
        </w:rPr>
        <w:t xml:space="preserve">MBS holders are short a prepayment option to the underlying mortgage holders and, as such, have exposure to changes in the term structure of long-dated implied volatility.</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B">
      <w:pPr>
        <w:numPr>
          <w:ilvl w:val="0"/>
          <w:numId w:val="3"/>
        </w:numPr>
        <w:ind w:left="720" w:hanging="360"/>
        <w:rPr>
          <w:b w:val="1"/>
          <w:sz w:val="24"/>
          <w:szCs w:val="24"/>
        </w:rPr>
      </w:pPr>
      <w:r w:rsidDel="00000000" w:rsidR="00000000" w:rsidRPr="00000000">
        <w:rPr>
          <w:b w:val="1"/>
          <w:sz w:val="24"/>
          <w:szCs w:val="24"/>
          <w:rtl w:val="0"/>
        </w:rPr>
        <w:t xml:space="preserve">Financing/Leverage Risk: </w:t>
      </w:r>
      <w:r w:rsidDel="00000000" w:rsidR="00000000" w:rsidRPr="00000000">
        <w:rPr>
          <w:sz w:val="24"/>
          <w:szCs w:val="24"/>
          <w:rtl w:val="0"/>
        </w:rPr>
        <w:t xml:space="preserve">The Agency TBA market is funded through </w:t>
      </w:r>
      <w:r w:rsidDel="00000000" w:rsidR="00000000" w:rsidRPr="00000000">
        <w:rPr>
          <w:b w:val="1"/>
          <w:sz w:val="24"/>
          <w:szCs w:val="24"/>
          <w:rtl w:val="0"/>
        </w:rPr>
        <w:t xml:space="preserve">dollar rolls</w:t>
      </w:r>
      <w:r w:rsidDel="00000000" w:rsidR="00000000" w:rsidRPr="00000000">
        <w:rPr>
          <w:sz w:val="24"/>
          <w:szCs w:val="24"/>
          <w:rtl w:val="0"/>
        </w:rPr>
        <w:t xml:space="preserve">, one of the most liquid financing markets in the world. Individual MBS pools and Agency CMOs, on the other hand, are financed through the repo market; the price and availability of repo can fluctuate considerably depending on the risk appetite and capital constraints of the broker-dealer community.</w:t>
      </w:r>
    </w:p>
    <w:p w:rsidR="00000000" w:rsidDel="00000000" w:rsidP="00000000" w:rsidRDefault="00000000" w:rsidRPr="00000000" w14:paraId="0000000C">
      <w:pPr>
        <w:numPr>
          <w:ilvl w:val="0"/>
          <w:numId w:val="3"/>
        </w:numPr>
        <w:ind w:left="720" w:hanging="360"/>
        <w:rPr>
          <w:sz w:val="24"/>
          <w:szCs w:val="24"/>
          <w:u w:val="none"/>
        </w:rPr>
      </w:pPr>
      <w:r w:rsidDel="00000000" w:rsidR="00000000" w:rsidRPr="00000000">
        <w:rPr>
          <w:b w:val="1"/>
          <w:sz w:val="24"/>
          <w:szCs w:val="24"/>
          <w:rtl w:val="0"/>
        </w:rPr>
        <w:t xml:space="preserve">Liquidity Risk: </w:t>
      </w:r>
      <w:r w:rsidDel="00000000" w:rsidR="00000000" w:rsidRPr="00000000">
        <w:rPr>
          <w:sz w:val="24"/>
          <w:szCs w:val="24"/>
          <w:rtl w:val="0"/>
        </w:rPr>
        <w:t xml:space="preserve">Agency CMOs are considered to be Level 2 assets in the FASB Fair Value Hierarchy.</w:t>
      </w:r>
    </w:p>
    <w:p w:rsidR="00000000" w:rsidDel="00000000" w:rsidP="00000000" w:rsidRDefault="00000000" w:rsidRPr="00000000" w14:paraId="0000000D">
      <w:pPr>
        <w:numPr>
          <w:ilvl w:val="0"/>
          <w:numId w:val="3"/>
        </w:numPr>
        <w:ind w:left="720" w:hanging="360"/>
        <w:rPr>
          <w:sz w:val="24"/>
          <w:szCs w:val="24"/>
          <w:u w:val="none"/>
        </w:rPr>
      </w:pPr>
      <w:r w:rsidDel="00000000" w:rsidR="00000000" w:rsidRPr="00000000">
        <w:rPr>
          <w:b w:val="1"/>
          <w:sz w:val="24"/>
          <w:szCs w:val="24"/>
          <w:rtl w:val="0"/>
        </w:rPr>
        <w:t xml:space="preserve">Credit Risk:</w:t>
      </w:r>
      <w:r w:rsidDel="00000000" w:rsidR="00000000" w:rsidRPr="00000000">
        <w:rPr>
          <w:sz w:val="24"/>
          <w:szCs w:val="24"/>
          <w:rtl w:val="0"/>
        </w:rPr>
        <w:t xml:space="preserve"> Considered to be minimal in Agency MBS since they are guaranteed by either government or government-sponsored enterprises.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Risk Factors in an Agency MBS Investment Strategy</w:t>
      </w:r>
    </w:p>
    <w:p w:rsidR="00000000" w:rsidDel="00000000" w:rsidP="00000000" w:rsidRDefault="00000000" w:rsidRPr="00000000" w14:paraId="00000010">
      <w:pPr>
        <w:rPr>
          <w:sz w:val="24"/>
          <w:szCs w:val="24"/>
        </w:rPr>
      </w:pPr>
      <w:r w:rsidDel="00000000" w:rsidR="00000000" w:rsidRPr="00000000">
        <w:rPr>
          <w:sz w:val="24"/>
          <w:szCs w:val="24"/>
          <w:rtl w:val="0"/>
        </w:rPr>
        <w:t xml:space="preserve">Any investment strategy that intends to have Agency MBS holdings is therefore organically presented with the question: which of the above risk factors do we want exposure to and which do we wish to hedge (i.e., to the extent possible, neutralize any possible exposure to). The answer is a function of the risk premia typically available for the various risk factors and the investment manager’s investment expertise in being able to harvest these premia.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One commonly followed approach is to take on exposure to prepayment risk and attempt to mitigate exposure to other risk factors, this approach is called an </w:t>
      </w:r>
      <w:r w:rsidDel="00000000" w:rsidR="00000000" w:rsidRPr="00000000">
        <w:rPr>
          <w:b w:val="1"/>
          <w:sz w:val="24"/>
          <w:szCs w:val="24"/>
          <w:rtl w:val="0"/>
        </w:rPr>
        <w:t xml:space="preserve">Agency MBS Prepayment Strategy </w:t>
      </w:r>
      <w:r w:rsidDel="00000000" w:rsidR="00000000" w:rsidRPr="00000000">
        <w:rPr>
          <w:sz w:val="24"/>
          <w:szCs w:val="24"/>
          <w:rtl w:val="0"/>
        </w:rPr>
        <w:t xml:space="preserve">(“Prepayment Strategy” for short). Having said that, in practice there’s no “pure” implementation of the Prepayment Strategy and investment managers will periodically take on exposure to interest rates, the mortgage basis etc. Also, risk factors like MBS Volatility and Financing are difficult to hedge on an ongoing basis nor is it clear how to collect these premiums.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In what follows, the discussion will primarily focus on Prepayment Strategies.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The Investment Universe of an Agency MBS Prepayment Strategy</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fundamental security in the Agency MBS universe is the </w:t>
      </w:r>
      <w:r w:rsidDel="00000000" w:rsidR="00000000" w:rsidRPr="00000000">
        <w:rPr>
          <w:b w:val="1"/>
          <w:sz w:val="24"/>
          <w:szCs w:val="24"/>
          <w:rtl w:val="0"/>
        </w:rPr>
        <w:t xml:space="preserve">MBS pool</w:t>
      </w:r>
      <w:r w:rsidDel="00000000" w:rsidR="00000000" w:rsidRPr="00000000">
        <w:rPr>
          <w:sz w:val="24"/>
          <w:szCs w:val="24"/>
          <w:rtl w:val="0"/>
        </w:rPr>
        <w:t xml:space="preserve"> -- principal and interest payments on the underlying mortgage loans are distributed to the end investor(s) on a pro-rata basis. There are a number of different securities that are built out of these atomic units which are listed in order of decreasing liquidity: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numPr>
          <w:ilvl w:val="0"/>
          <w:numId w:val="7"/>
        </w:numPr>
        <w:ind w:left="720" w:hanging="360"/>
        <w:rPr>
          <w:sz w:val="24"/>
          <w:szCs w:val="24"/>
          <w:u w:val="none"/>
        </w:rPr>
      </w:pPr>
      <w:r w:rsidDel="00000000" w:rsidR="00000000" w:rsidRPr="00000000">
        <w:rPr>
          <w:b w:val="1"/>
          <w:sz w:val="24"/>
          <w:szCs w:val="24"/>
          <w:rtl w:val="0"/>
        </w:rPr>
        <w:t xml:space="preserve">TBAs:</w:t>
      </w:r>
      <w:r w:rsidDel="00000000" w:rsidR="00000000" w:rsidRPr="00000000">
        <w:rPr>
          <w:sz w:val="24"/>
          <w:szCs w:val="24"/>
          <w:rtl w:val="0"/>
        </w:rPr>
        <w:t xml:space="preserve"> These are extremely liquid forward instruments for trading MBS pools. The identities of the MBS pools are not known at the initiation of the forward contract but are “announced” two business days before the settlement date.</w:t>
      </w:r>
    </w:p>
    <w:p w:rsidR="00000000" w:rsidDel="00000000" w:rsidP="00000000" w:rsidRDefault="00000000" w:rsidRPr="00000000" w14:paraId="0000001B">
      <w:pPr>
        <w:numPr>
          <w:ilvl w:val="0"/>
          <w:numId w:val="7"/>
        </w:numPr>
        <w:ind w:left="720" w:hanging="360"/>
        <w:rPr>
          <w:sz w:val="24"/>
          <w:szCs w:val="24"/>
          <w:u w:val="none"/>
        </w:rPr>
      </w:pPr>
      <w:r w:rsidDel="00000000" w:rsidR="00000000" w:rsidRPr="00000000">
        <w:rPr>
          <w:b w:val="1"/>
          <w:sz w:val="24"/>
          <w:szCs w:val="24"/>
          <w:rtl w:val="0"/>
        </w:rPr>
        <w:t xml:space="preserve">Specified Pools:</w:t>
      </w:r>
      <w:r w:rsidDel="00000000" w:rsidR="00000000" w:rsidRPr="00000000">
        <w:rPr>
          <w:sz w:val="24"/>
          <w:szCs w:val="24"/>
          <w:rtl w:val="0"/>
        </w:rPr>
        <w:t xml:space="preserve"> The identity of these pools is specified at the time of trading. Some of the pools are ineligible for TBA trading because the underlying loans have non-standard features. </w:t>
      </w:r>
    </w:p>
    <w:p w:rsidR="00000000" w:rsidDel="00000000" w:rsidP="00000000" w:rsidRDefault="00000000" w:rsidRPr="00000000" w14:paraId="0000001C">
      <w:pPr>
        <w:numPr>
          <w:ilvl w:val="0"/>
          <w:numId w:val="7"/>
        </w:numPr>
        <w:ind w:left="720" w:hanging="360"/>
        <w:rPr>
          <w:sz w:val="24"/>
          <w:szCs w:val="24"/>
        </w:rPr>
      </w:pPr>
      <w:r w:rsidDel="00000000" w:rsidR="00000000" w:rsidRPr="00000000">
        <w:rPr>
          <w:b w:val="1"/>
          <w:sz w:val="24"/>
          <w:szCs w:val="24"/>
          <w:rtl w:val="0"/>
        </w:rPr>
        <w:t xml:space="preserve">Vanilla Agency CMOs:</w:t>
      </w:r>
      <w:r w:rsidDel="00000000" w:rsidR="00000000" w:rsidRPr="00000000">
        <w:rPr>
          <w:sz w:val="24"/>
          <w:szCs w:val="24"/>
          <w:rtl w:val="0"/>
        </w:rPr>
        <w:t xml:space="preserve"> CMOs are created by redistributing the cash flows generated by the underlying mortgages to different tranches based on predefined rules. Each tranche has prepayment exposures that are different from those of other tranches and from the underlying collateral. These tranches also offer significantly different spreads in order to compensate investors for heightened or reduced levels of prepayment risk exposure.</w:t>
      </w:r>
    </w:p>
    <w:p w:rsidR="00000000" w:rsidDel="00000000" w:rsidP="00000000" w:rsidRDefault="00000000" w:rsidRPr="00000000" w14:paraId="0000001D">
      <w:pPr>
        <w:numPr>
          <w:ilvl w:val="0"/>
          <w:numId w:val="7"/>
        </w:numPr>
        <w:ind w:left="720" w:hanging="360"/>
        <w:rPr>
          <w:sz w:val="24"/>
          <w:szCs w:val="24"/>
        </w:rPr>
      </w:pPr>
      <w:r w:rsidDel="00000000" w:rsidR="00000000" w:rsidRPr="00000000">
        <w:rPr>
          <w:b w:val="1"/>
          <w:sz w:val="24"/>
          <w:szCs w:val="24"/>
          <w:rtl w:val="0"/>
        </w:rPr>
        <w:t xml:space="preserve">Agency CMO Derivatives:</w:t>
      </w:r>
      <w:r w:rsidDel="00000000" w:rsidR="00000000" w:rsidRPr="00000000">
        <w:rPr>
          <w:sz w:val="24"/>
          <w:szCs w:val="24"/>
          <w:rtl w:val="0"/>
        </w:rPr>
        <w:t xml:space="preserve"> A </w:t>
      </w:r>
      <w:r w:rsidDel="00000000" w:rsidR="00000000" w:rsidRPr="00000000">
        <w:rPr>
          <w:b w:val="1"/>
          <w:sz w:val="24"/>
          <w:szCs w:val="24"/>
          <w:rtl w:val="0"/>
        </w:rPr>
        <w:t xml:space="preserve">CMO Derivative</w:t>
      </w:r>
      <w:r w:rsidDel="00000000" w:rsidR="00000000" w:rsidRPr="00000000">
        <w:rPr>
          <w:sz w:val="24"/>
          <w:szCs w:val="24"/>
          <w:rtl w:val="0"/>
        </w:rPr>
        <w:t xml:space="preserve"> is a CMO tranche with intrinsically leveraged exposure to prepayments on the underlying collateral. </w:t>
      </w:r>
    </w:p>
    <w:p w:rsidR="00000000" w:rsidDel="00000000" w:rsidP="00000000" w:rsidRDefault="00000000" w:rsidRPr="00000000" w14:paraId="0000001E">
      <w:pPr>
        <w:numPr>
          <w:ilvl w:val="0"/>
          <w:numId w:val="7"/>
        </w:numPr>
        <w:ind w:left="720" w:hanging="360"/>
        <w:rPr>
          <w:b w:val="1"/>
          <w:sz w:val="24"/>
          <w:szCs w:val="24"/>
        </w:rPr>
      </w:pPr>
      <w:r w:rsidDel="00000000" w:rsidR="00000000" w:rsidRPr="00000000">
        <w:rPr>
          <w:b w:val="1"/>
          <w:sz w:val="24"/>
          <w:szCs w:val="24"/>
          <w:rtl w:val="0"/>
        </w:rPr>
        <w:t xml:space="preserve">IOS: </w:t>
      </w:r>
      <w:r w:rsidDel="00000000" w:rsidR="00000000" w:rsidRPr="00000000">
        <w:rPr>
          <w:sz w:val="24"/>
          <w:szCs w:val="24"/>
          <w:rtl w:val="0"/>
        </w:rPr>
        <w:t xml:space="preserve">These correspond to synthetic total return swap indices referencing the interest component of 30-year fixed-rate Fannie Mae Agency or Ginnie Mae MBS pools issued during a designated period (2009, 2010, etc.) for a range of coupons (3.5%, 4%, etc.). Economically, a long position in an IOS synthetically replicates a long position in cash Interest Only (IO) instruments financed at 1-month LIBOR.</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Each of the above securities bears some degree of prepayment risk with Agency CMO Derivatives carrying the greatest amount. Consequently, Agency CMO Derivatives are a core holding for most Prepayment Strategies.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Package the list above in a slide with an additional column “Benchmark Available”.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Interest cash flows on IOs versus Pass-throughs for various prepayment speeds.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Sources of Returns  in the Agency MBS  Prepayment Strategy: I</w:t>
      </w:r>
    </w:p>
    <w:p w:rsidR="00000000" w:rsidDel="00000000" w:rsidP="00000000" w:rsidRDefault="00000000" w:rsidRPr="00000000" w14:paraId="00000027">
      <w:pPr>
        <w:rPr>
          <w:sz w:val="24"/>
          <w:szCs w:val="24"/>
        </w:rPr>
      </w:pPr>
      <w:r w:rsidDel="00000000" w:rsidR="00000000" w:rsidRPr="00000000">
        <w:rPr>
          <w:sz w:val="24"/>
          <w:szCs w:val="24"/>
          <w:rtl w:val="0"/>
        </w:rPr>
        <w:t xml:space="preserve">Given that the primary exposure in Prepayment Strategy is to prepayment risk then, by definition, most of the returns themselves are generated from exposure to this risk factor. This is not quite true because we can also generate alpha from bond picking and execution and also, much less frequently, from arbitrage-type strategies where we construct long-short pairs in which the same prepayment risk is priced differently across two different securities.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In any case, here’s a more granular breakdown of returns: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numPr>
          <w:ilvl w:val="0"/>
          <w:numId w:val="2"/>
        </w:numPr>
        <w:ind w:left="720" w:hanging="360"/>
        <w:rPr>
          <w:b w:val="1"/>
          <w:sz w:val="24"/>
          <w:szCs w:val="24"/>
        </w:rPr>
      </w:pPr>
      <w:r w:rsidDel="00000000" w:rsidR="00000000" w:rsidRPr="00000000">
        <w:rPr>
          <w:b w:val="1"/>
          <w:sz w:val="24"/>
          <w:szCs w:val="24"/>
          <w:rtl w:val="0"/>
        </w:rPr>
        <w:t xml:space="preserve">Beta</w:t>
      </w:r>
      <w:r w:rsidDel="00000000" w:rsidR="00000000" w:rsidRPr="00000000">
        <w:rPr>
          <w:sz w:val="24"/>
          <w:szCs w:val="24"/>
          <w:rtl w:val="0"/>
        </w:rPr>
        <w:t xml:space="preserve">: Outright exposure to prepayment risk premiums. The word “Beta” is used somewhat loosely in this context as there’s no well-defined overall market (and therefore no index) for the security holdings of Prepayment Strategies.</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A">
      <w:pPr>
        <w:numPr>
          <w:ilvl w:val="0"/>
          <w:numId w:val="2"/>
        </w:numPr>
        <w:ind w:left="720" w:hanging="360"/>
        <w:rPr>
          <w:b w:val="1"/>
          <w:sz w:val="24"/>
          <w:szCs w:val="24"/>
        </w:rPr>
      </w:pPr>
      <w:r w:rsidDel="00000000" w:rsidR="00000000" w:rsidRPr="00000000">
        <w:rPr>
          <w:b w:val="1"/>
          <w:sz w:val="24"/>
          <w:szCs w:val="24"/>
          <w:rtl w:val="0"/>
        </w:rPr>
        <w:t xml:space="preserve">Alpha: </w:t>
      </w:r>
      <w:r w:rsidDel="00000000" w:rsidR="00000000" w:rsidRPr="00000000">
        <w:rPr>
          <w:sz w:val="24"/>
          <w:szCs w:val="24"/>
          <w:rtl w:val="0"/>
        </w:rPr>
        <w:t xml:space="preserve">Choosing bonds that are undervalued compared the overall “market”</w:t>
      </w:r>
    </w:p>
    <w:p w:rsidR="00000000" w:rsidDel="00000000" w:rsidP="00000000" w:rsidRDefault="00000000" w:rsidRPr="00000000" w14:paraId="0000002B">
      <w:pPr>
        <w:numPr>
          <w:ilvl w:val="0"/>
          <w:numId w:val="2"/>
        </w:numPr>
        <w:ind w:left="720" w:hanging="360"/>
        <w:rPr>
          <w:b w:val="1"/>
          <w:sz w:val="24"/>
          <w:szCs w:val="24"/>
        </w:rPr>
      </w:pPr>
      <w:r w:rsidDel="00000000" w:rsidR="00000000" w:rsidRPr="00000000">
        <w:rPr>
          <w:b w:val="1"/>
          <w:sz w:val="24"/>
          <w:szCs w:val="24"/>
          <w:rtl w:val="0"/>
        </w:rPr>
        <w:t xml:space="preserve">Execution: </w:t>
      </w:r>
      <w:r w:rsidDel="00000000" w:rsidR="00000000" w:rsidRPr="00000000">
        <w:rPr>
          <w:sz w:val="24"/>
          <w:szCs w:val="24"/>
          <w:rtl w:val="0"/>
        </w:rPr>
        <w:t xml:space="preserve">Agency MBSs trade on an OTC market and experience in navigating trading flows in this market can add substantial value. This is particularly true for the CMO Derivatives sector given the prevalence of prepayment dispersion, structural complexities and buyer segmentation.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b w:val="1"/>
          <w:sz w:val="28"/>
          <w:szCs w:val="28"/>
          <w:rtl w:val="0"/>
        </w:rPr>
        <w:t xml:space="preserve">Why does the Prepayment Risk Premium Exist?</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prepayment risk premium reflects the compensation that investors demand for taking on non-interest-related drivers of prepayments such as house prices, underwriting standards, and government policies. As per standard portfolio theory, investors require risk premia for any risks that are non-diversifiable and the non-interest-rate-related prepayment drivers mentioned above fall into this category.</w:t>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How do we measure the Prepayment Risk Premium?</w:t>
      </w:r>
    </w:p>
    <w:p w:rsidR="00000000" w:rsidDel="00000000" w:rsidP="00000000" w:rsidRDefault="00000000" w:rsidRPr="00000000" w14:paraId="00000031">
      <w:pPr>
        <w:rPr>
          <w:sz w:val="24"/>
          <w:szCs w:val="24"/>
        </w:rPr>
      </w:pPr>
      <w:r w:rsidDel="00000000" w:rsidR="00000000" w:rsidRPr="00000000">
        <w:rPr>
          <w:sz w:val="24"/>
          <w:szCs w:val="24"/>
          <w:rtl w:val="0"/>
        </w:rPr>
        <w:t xml:space="preserve">Risk premia in MBS are often measured through the </w:t>
      </w:r>
      <w:r w:rsidDel="00000000" w:rsidR="00000000" w:rsidRPr="00000000">
        <w:rPr>
          <w:b w:val="1"/>
          <w:sz w:val="24"/>
          <w:szCs w:val="24"/>
          <w:rtl w:val="0"/>
        </w:rPr>
        <w:t xml:space="preserve">Option-adjusted spread (OAS)</w:t>
      </w:r>
      <w:r w:rsidDel="00000000" w:rsidR="00000000" w:rsidRPr="00000000">
        <w:rPr>
          <w:sz w:val="24"/>
          <w:szCs w:val="24"/>
          <w:rtl w:val="0"/>
        </w:rPr>
        <w:t xml:space="preserve">. The OAS can be viewed as being equal to the weighted-average of future expected excess returns (over some benchmark yield curve, typically either Swaps or Treasuries) after hedging for interest rate risk. As such, the OAS is regarded as being the compensation for exposure to prepayment risk but other risk factors unrelated to prepayments but specific to different types of Agency MBS securities such as liquidity risk or complexity risk can also be captured in this spread.</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OAS is a predictor of realized returns. So, looking at OAS essentially tells you what the </w:t>
      </w:r>
      <w:r w:rsidDel="00000000" w:rsidR="00000000" w:rsidRPr="00000000">
        <w:rPr>
          <w:b w:val="1"/>
          <w:sz w:val="24"/>
          <w:szCs w:val="24"/>
          <w:rtl w:val="0"/>
        </w:rPr>
        <w:t xml:space="preserve">opportunity set </w:t>
      </w:r>
      <w:r w:rsidDel="00000000" w:rsidR="00000000" w:rsidRPr="00000000">
        <w:rPr>
          <w:sz w:val="24"/>
          <w:szCs w:val="24"/>
          <w:rtl w:val="0"/>
        </w:rPr>
        <w:t xml:space="preserve">is. Calculating OAS dv01s gives you a benchmark for spread risk, prepayment risk etc. Another source which is model-free is the price of prepayment risk as proxied by IO price/coupon.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sz w:val="28"/>
          <w:szCs w:val="28"/>
        </w:rPr>
      </w:pPr>
      <w:r w:rsidDel="00000000" w:rsidR="00000000" w:rsidRPr="00000000">
        <w:rPr>
          <w:b w:val="1"/>
          <w:sz w:val="28"/>
          <w:szCs w:val="28"/>
          <w:rtl w:val="0"/>
        </w:rPr>
        <w:t xml:space="preserve">Sources of Returns  in Agency MBS Prepayment Strategy: II</w:t>
      </w:r>
    </w:p>
    <w:p w:rsidR="00000000" w:rsidDel="00000000" w:rsidP="00000000" w:rsidRDefault="00000000" w:rsidRPr="00000000" w14:paraId="00000036">
      <w:pPr>
        <w:numPr>
          <w:ilvl w:val="0"/>
          <w:numId w:val="5"/>
        </w:numPr>
        <w:ind w:left="720" w:hanging="360"/>
        <w:rPr>
          <w:sz w:val="24"/>
          <w:szCs w:val="24"/>
          <w:u w:val="none"/>
        </w:rPr>
      </w:pPr>
      <w:r w:rsidDel="00000000" w:rsidR="00000000" w:rsidRPr="00000000">
        <w:rPr>
          <w:b w:val="1"/>
          <w:sz w:val="24"/>
          <w:szCs w:val="24"/>
          <w:rtl w:val="0"/>
        </w:rPr>
        <w:t xml:space="preserve">Beta = Hedged Carry + Spread Changes on the Market.</w:t>
      </w:r>
      <w:r w:rsidDel="00000000" w:rsidR="00000000" w:rsidRPr="00000000">
        <w:rPr>
          <w:sz w:val="24"/>
          <w:szCs w:val="24"/>
          <w:rtl w:val="0"/>
        </w:rPr>
        <w:t xml:space="preserve"> This return is due to core exposure to the market. Note issues of defining the market.</w:t>
      </w:r>
    </w:p>
    <w:p w:rsidR="00000000" w:rsidDel="00000000" w:rsidP="00000000" w:rsidRDefault="00000000" w:rsidRPr="00000000" w14:paraId="00000037">
      <w:pPr>
        <w:numPr>
          <w:ilvl w:val="0"/>
          <w:numId w:val="5"/>
        </w:numPr>
        <w:ind w:left="720" w:hanging="360"/>
        <w:rPr>
          <w:sz w:val="24"/>
          <w:szCs w:val="24"/>
          <w:u w:val="none"/>
        </w:rPr>
      </w:pPr>
      <w:r w:rsidDel="00000000" w:rsidR="00000000" w:rsidRPr="00000000">
        <w:rPr>
          <w:b w:val="1"/>
          <w:sz w:val="24"/>
          <w:szCs w:val="24"/>
          <w:rtl w:val="0"/>
        </w:rPr>
        <w:t xml:space="preserve">Alpha I = Sectoral Spread Changes</w:t>
      </w:r>
      <w:r w:rsidDel="00000000" w:rsidR="00000000" w:rsidRPr="00000000">
        <w:rPr>
          <w:sz w:val="24"/>
          <w:szCs w:val="24"/>
          <w:rtl w:val="0"/>
        </w:rPr>
        <w:t xml:space="preserve">.  This return is due to under/overweighting certain sectors. Since the market itself is ill-defined, sectors are even less so. To the extent it’s possible there are several dimensions to consider including Agency (FNMA/FHLMC/GNMA), Structure (IO, Inverse IO, …) and Collateral (Generic, CQ/CR, LLB etc).</w:t>
      </w:r>
    </w:p>
    <w:p w:rsidR="00000000" w:rsidDel="00000000" w:rsidP="00000000" w:rsidRDefault="00000000" w:rsidRPr="00000000" w14:paraId="00000038">
      <w:pPr>
        <w:numPr>
          <w:ilvl w:val="0"/>
          <w:numId w:val="5"/>
        </w:numPr>
        <w:ind w:left="720" w:hanging="360"/>
        <w:rPr>
          <w:sz w:val="24"/>
          <w:szCs w:val="24"/>
          <w:u w:val="none"/>
        </w:rPr>
      </w:pPr>
      <w:r w:rsidDel="00000000" w:rsidR="00000000" w:rsidRPr="00000000">
        <w:rPr>
          <w:b w:val="1"/>
          <w:sz w:val="24"/>
          <w:szCs w:val="24"/>
          <w:rtl w:val="0"/>
        </w:rPr>
        <w:t xml:space="preserve">Alpha II = Execution. </w:t>
      </w:r>
      <w:r w:rsidDel="00000000" w:rsidR="00000000" w:rsidRPr="00000000">
        <w:rPr>
          <w:sz w:val="24"/>
          <w:szCs w:val="24"/>
          <w:rtl w:val="0"/>
        </w:rPr>
        <w:t xml:space="preserve">The OTC nature of the Agency MBS market (esp. for CMOs + CMO Derivatives) provides opportunities to exploit inefficiencies.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Decomposition of returns in Agency MBS Prepayment Strategy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Investing in the Prepay Risk Premium I: General Considerations</w:t>
      </w:r>
    </w:p>
    <w:p w:rsidR="00000000" w:rsidDel="00000000" w:rsidP="00000000" w:rsidRDefault="00000000" w:rsidRPr="00000000" w14:paraId="0000003D">
      <w:pPr>
        <w:rPr>
          <w:sz w:val="24"/>
          <w:szCs w:val="24"/>
        </w:rPr>
      </w:pPr>
      <w:r w:rsidDel="00000000" w:rsidR="00000000" w:rsidRPr="00000000">
        <w:rPr>
          <w:sz w:val="24"/>
          <w:szCs w:val="24"/>
          <w:rtl w:val="0"/>
        </w:rPr>
        <w:t xml:space="preserve">Pure Beta strategies are long-only and are therefore exposed to the risk of a significant market correction. To understand the risk/return profile of just the Beta component of Prepayment Strategy the traditional approach would be to construct an index through selecting security benchmarks and then tracking the performance of this index.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spacing w:after="240" w:line="276" w:lineRule="auto"/>
        <w:rPr>
          <w:sz w:val="24"/>
          <w:szCs w:val="24"/>
        </w:rPr>
      </w:pPr>
      <w:r w:rsidDel="00000000" w:rsidR="00000000" w:rsidRPr="00000000">
        <w:rPr>
          <w:sz w:val="24"/>
          <w:szCs w:val="24"/>
          <w:rtl w:val="0"/>
        </w:rPr>
        <w:t xml:space="preserve">There is no official benchmark for the Prepayment Strategy since are no established reference securities from the Investment Universe.</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However, in principle one could construct a reasonable proxy benchmark for the Beta component of the Strategy by utilizing </w:t>
      </w:r>
      <w:r w:rsidDel="00000000" w:rsidR="00000000" w:rsidRPr="00000000">
        <w:rPr>
          <w:b w:val="1"/>
          <w:sz w:val="24"/>
          <w:szCs w:val="24"/>
          <w:rtl w:val="0"/>
        </w:rPr>
        <w:t xml:space="preserve">Interest-only (IO) </w:t>
      </w:r>
      <w:r w:rsidDel="00000000" w:rsidR="00000000" w:rsidRPr="00000000">
        <w:rPr>
          <w:sz w:val="24"/>
          <w:szCs w:val="24"/>
          <w:rtl w:val="0"/>
        </w:rPr>
        <w:t xml:space="preserve">securities.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IOs can be regarded as benchmarks for determining exposure to prepayment risk because their cash flows correspond to the interest cash flows from MBS pools and as such represent the simplest form of an instrument with substantial intrinsic leverage with respect to prepayment rates.</w:t>
      </w:r>
    </w:p>
    <w:p w:rsidR="00000000" w:rsidDel="00000000" w:rsidP="00000000" w:rsidRDefault="00000000" w:rsidRPr="00000000" w14:paraId="00000040">
      <w:pPr>
        <w:spacing w:after="240" w:line="276" w:lineRule="auto"/>
        <w:rPr>
          <w:sz w:val="24"/>
          <w:szCs w:val="24"/>
        </w:rPr>
      </w:pPr>
      <w:r w:rsidDel="00000000" w:rsidR="00000000" w:rsidRPr="00000000">
        <w:rPr>
          <w:sz w:val="24"/>
          <w:szCs w:val="24"/>
          <w:rtl w:val="0"/>
        </w:rPr>
        <w:t xml:space="preserve">Until recently, the most commonly traded IO instruments in the market are </w:t>
      </w:r>
      <w:r w:rsidDel="00000000" w:rsidR="00000000" w:rsidRPr="00000000">
        <w:rPr>
          <w:b w:val="1"/>
          <w:sz w:val="24"/>
          <w:szCs w:val="24"/>
          <w:rtl w:val="0"/>
        </w:rPr>
        <w:t xml:space="preserve">IOS indices</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A </w:t>
      </w:r>
      <w:r w:rsidDel="00000000" w:rsidR="00000000" w:rsidRPr="00000000">
        <w:rPr>
          <w:b w:val="1"/>
          <w:sz w:val="24"/>
          <w:szCs w:val="24"/>
          <w:rtl w:val="0"/>
        </w:rPr>
        <w:t xml:space="preserve">Hedged IO Index</w:t>
      </w:r>
      <w:r w:rsidDel="00000000" w:rsidR="00000000" w:rsidRPr="00000000">
        <w:rPr>
          <w:sz w:val="24"/>
          <w:szCs w:val="24"/>
          <w:rtl w:val="0"/>
        </w:rPr>
        <w:t xml:space="preserve"> can be created by using a collection of IOS indices that are hedged using a combination of TBA and Interest Rate hedges. The Beta component of the Prepayment Strategy could then be benchmarked to always being 100% invested in the Hedged IO index. Unfortunately, this approach suffers from non-trivial shortcomings:</w:t>
      </w:r>
    </w:p>
    <w:p w:rsidR="00000000" w:rsidDel="00000000" w:rsidP="00000000" w:rsidRDefault="00000000" w:rsidRPr="00000000" w14:paraId="00000041">
      <w:pPr>
        <w:numPr>
          <w:ilvl w:val="0"/>
          <w:numId w:val="8"/>
        </w:numPr>
        <w:spacing w:line="276" w:lineRule="auto"/>
        <w:ind w:left="720" w:hanging="360"/>
        <w:rPr>
          <w:sz w:val="24"/>
          <w:szCs w:val="24"/>
          <w:u w:val="none"/>
        </w:rPr>
      </w:pPr>
      <w:r w:rsidDel="00000000" w:rsidR="00000000" w:rsidRPr="00000000">
        <w:rPr>
          <w:sz w:val="24"/>
          <w:szCs w:val="24"/>
          <w:rtl w:val="0"/>
        </w:rPr>
        <w:t xml:space="preserve">The mortgages backing CMO Derivatives are typically much more concentrated in terms of loan and borrower characteristics than the corresponding IOS.</w:t>
      </w:r>
    </w:p>
    <w:p w:rsidR="00000000" w:rsidDel="00000000" w:rsidP="00000000" w:rsidRDefault="00000000" w:rsidRPr="00000000" w14:paraId="00000042">
      <w:pPr>
        <w:numPr>
          <w:ilvl w:val="0"/>
          <w:numId w:val="8"/>
        </w:numPr>
        <w:spacing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While it is possible to establish both long and short positions in IOS, it is often very difficult to short a CMO Derivative. Technical situations can result where there is a large disconnect between the value of the CMO Derivative and the IOS it is benchmarked to.</w:t>
      </w:r>
    </w:p>
    <w:p w:rsidR="00000000" w:rsidDel="00000000" w:rsidP="00000000" w:rsidRDefault="00000000" w:rsidRPr="00000000" w14:paraId="00000043">
      <w:pPr>
        <w:numPr>
          <w:ilvl w:val="0"/>
          <w:numId w:val="8"/>
        </w:numPr>
        <w:spacing w:line="276" w:lineRule="auto"/>
        <w:ind w:left="720" w:hanging="360"/>
        <w:rPr>
          <w:sz w:val="24"/>
          <w:szCs w:val="24"/>
          <w:u w:val="none"/>
        </w:rPr>
      </w:pPr>
      <w:r w:rsidDel="00000000" w:rsidR="00000000" w:rsidRPr="00000000">
        <w:rPr>
          <w:sz w:val="24"/>
          <w:szCs w:val="24"/>
          <w:rtl w:val="0"/>
        </w:rPr>
        <w:t xml:space="preserve">CMO Derivatives are cash securities whereas IOS are off-balance sheet instruments. Changes in the ease with which broker-dealers can finance their balance sheets and/or changes in margining requirements for derivatives can result in significant movements in the </w:t>
      </w:r>
      <w:r w:rsidDel="00000000" w:rsidR="00000000" w:rsidRPr="00000000">
        <w:rPr>
          <w:b w:val="1"/>
          <w:sz w:val="24"/>
          <w:szCs w:val="24"/>
          <w:rtl w:val="0"/>
        </w:rPr>
        <w:t xml:space="preserve">Cash-IOS basis</w:t>
      </w:r>
      <w:r w:rsidDel="00000000" w:rsidR="00000000" w:rsidRPr="00000000">
        <w:rPr>
          <w:sz w:val="24"/>
          <w:szCs w:val="24"/>
          <w:rtl w:val="0"/>
        </w:rPr>
        <w:t xml:space="preserve"> (the difference between Cash and IO spreads).</w:t>
      </w:r>
    </w:p>
    <w:p w:rsidR="00000000" w:rsidDel="00000000" w:rsidP="00000000" w:rsidRDefault="00000000" w:rsidRPr="00000000" w14:paraId="00000044">
      <w:pPr>
        <w:spacing w:line="276" w:lineRule="auto"/>
        <w:rPr>
          <w:sz w:val="24"/>
          <w:szCs w:val="24"/>
        </w:rPr>
      </w:pPr>
      <w:r w:rsidDel="00000000" w:rsidR="00000000" w:rsidRPr="00000000">
        <w:rPr>
          <w:rtl w:val="0"/>
        </w:rPr>
      </w:r>
    </w:p>
    <w:p w:rsidR="00000000" w:rsidDel="00000000" w:rsidP="00000000" w:rsidRDefault="00000000" w:rsidRPr="00000000" w14:paraId="00000045">
      <w:pPr>
        <w:spacing w:line="276" w:lineRule="auto"/>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Performance of Hedged IO Index: March 2011-October 2016</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Time-series of returns; Table of return statistics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sz w:val="24"/>
          <w:szCs w:val="24"/>
          <w:rtl w:val="0"/>
        </w:rPr>
        <w:t xml:space="preserve"> </w:t>
      </w:r>
      <w:r w:rsidDel="00000000" w:rsidR="00000000" w:rsidRPr="00000000">
        <w:rPr>
          <w:b w:val="1"/>
          <w:sz w:val="28"/>
          <w:szCs w:val="28"/>
          <w:rtl w:val="0"/>
        </w:rPr>
        <w:t xml:space="preserve">Investing in the Prepay Risk Premium II: Spreads are Correlated to Interest Rates</w:t>
      </w:r>
    </w:p>
    <w:p w:rsidR="00000000" w:rsidDel="00000000" w:rsidP="00000000" w:rsidRDefault="00000000" w:rsidRPr="00000000" w14:paraId="00000049">
      <w:pPr>
        <w:rPr>
          <w:sz w:val="24"/>
          <w:szCs w:val="24"/>
        </w:rPr>
      </w:pPr>
      <w:r w:rsidDel="00000000" w:rsidR="00000000" w:rsidRPr="00000000">
        <w:rPr>
          <w:sz w:val="24"/>
          <w:szCs w:val="24"/>
          <w:rtl w:val="0"/>
        </w:rPr>
        <w:t xml:space="preserve">A closer look at returns on the Hedged IO index demonstrates a link between interest rates and prepayment risk premiums. This is not completely intuitive since, as mentioned previously, prepayment risk is linked to prepayment expectations being incorrect and, in practice, the market’s prepayment expectations are adjusted as interest rates vary.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As interest rates rally, refinancing rates pick up and the market usually demands an uncertainty premium since the likelihood of a significant underprediction increases. In particular, prepayment expectations are generally formed from prepayment models and these are calibrated to past behavior.</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In practice, it is not straightforward to hedge this one-sided risk if we hold that interest rates are inherently unpredictable. However, as we shall shortly see, there are some special situations in which hedging may be warranted.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OAS versus 10-year Treasury -- linear graph?</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sz w:val="28"/>
          <w:szCs w:val="28"/>
        </w:rPr>
      </w:pPr>
      <w:r w:rsidDel="00000000" w:rsidR="00000000" w:rsidRPr="00000000">
        <w:rPr>
          <w:sz w:val="24"/>
          <w:szCs w:val="24"/>
          <w:rtl w:val="0"/>
        </w:rPr>
        <w:t xml:space="preserve"> </w:t>
      </w:r>
      <w:r w:rsidDel="00000000" w:rsidR="00000000" w:rsidRPr="00000000">
        <w:rPr>
          <w:b w:val="1"/>
          <w:sz w:val="28"/>
          <w:szCs w:val="28"/>
          <w:rtl w:val="0"/>
        </w:rPr>
        <w:t xml:space="preserve">Investing in the Prepay Risk Premium III: Spreads and the Media Effect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There is strong non-linearity to this effect -- a “jump” discontinuity when rates reach a critical threshold. The fact that there is this jump risk means that there is some asymmetry to changes in spreads. And that provides a rationale for reductions in exposure.  Media Effect: there is a strong “network effect” for borrowers to respond and lenders start actively soliciting. There’s a strong uncertainty premium that the market demands since models are calibrated to past behavior.</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sz w:val="24"/>
          <w:szCs w:val="24"/>
          <w:rtl w:val="0"/>
        </w:rPr>
        <w:t xml:space="preserve">Slide. </w:t>
      </w:r>
      <w:r w:rsidDel="00000000" w:rsidR="00000000" w:rsidRPr="00000000">
        <w:rPr>
          <w:sz w:val="24"/>
          <w:szCs w:val="24"/>
          <w:rtl w:val="0"/>
        </w:rPr>
        <w:t xml:space="preserve">OAS versus Media Effect -- S-curve?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Investing in the Prepay Risk Premium IV: The Media Effect and Interest Rates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Mortgage rates don’t move one-for-one with interest rates: current coupon spread and servicing spread.</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Managing Prepay Risk Exposure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Can we manage prepay risk exposure and cut off the risk tail? A thoughtful response entails understanding the drivers of spread changes: (1) Interest rates; (2) Government policy actions; and (3) Secular changes in risk premiums.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Government housing policy-related actions, to the extent that they’re predictable, can only be hedged through changes in exposure. Same comments on changes in the overall risk premium. That leaves interest rates. Since spread changes are symmetric with respect to interest rates and given all the noise in terms of how mortgage rates move with spreads, it’s difficult to take a stance short an outright call on the direction of interest rates. So, it only makes sense to hedge the “jump risk” situation in which there is potentially a significant asymmetry in terms of how spreads will widen by versus how much they will tighten.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Never a straightforward decision since there are three risks associated with decreasing IO exposure:</w:t>
      </w:r>
    </w:p>
    <w:p w:rsidR="00000000" w:rsidDel="00000000" w:rsidP="00000000" w:rsidRDefault="00000000" w:rsidRPr="00000000" w14:paraId="00000062">
      <w:pPr>
        <w:numPr>
          <w:ilvl w:val="0"/>
          <w:numId w:val="6"/>
        </w:numPr>
        <w:ind w:left="720" w:hanging="360"/>
        <w:rPr>
          <w:sz w:val="24"/>
          <w:szCs w:val="24"/>
          <w:u w:val="none"/>
        </w:rPr>
      </w:pPr>
      <w:r w:rsidDel="00000000" w:rsidR="00000000" w:rsidRPr="00000000">
        <w:rPr>
          <w:sz w:val="24"/>
          <w:szCs w:val="24"/>
          <w:rtl w:val="0"/>
        </w:rPr>
        <w:t xml:space="preserve">Loss of carry due to lower IO exposure</w:t>
      </w:r>
    </w:p>
    <w:p w:rsidR="00000000" w:rsidDel="00000000" w:rsidP="00000000" w:rsidRDefault="00000000" w:rsidRPr="00000000" w14:paraId="00000063">
      <w:pPr>
        <w:numPr>
          <w:ilvl w:val="0"/>
          <w:numId w:val="6"/>
        </w:numPr>
        <w:ind w:left="720" w:hanging="360"/>
        <w:rPr>
          <w:sz w:val="24"/>
          <w:szCs w:val="24"/>
          <w:u w:val="none"/>
        </w:rPr>
      </w:pPr>
      <w:r w:rsidDel="00000000" w:rsidR="00000000" w:rsidRPr="00000000">
        <w:rPr>
          <w:sz w:val="24"/>
          <w:szCs w:val="24"/>
          <w:rtl w:val="0"/>
        </w:rPr>
        <w:t xml:space="preserve">Transaction costs associated with exiting and re-entering IO positions</w:t>
      </w:r>
    </w:p>
    <w:p w:rsidR="00000000" w:rsidDel="00000000" w:rsidP="00000000" w:rsidRDefault="00000000" w:rsidRPr="00000000" w14:paraId="00000064">
      <w:pPr>
        <w:numPr>
          <w:ilvl w:val="0"/>
          <w:numId w:val="6"/>
        </w:numPr>
        <w:ind w:left="720" w:hanging="360"/>
        <w:rPr>
          <w:sz w:val="24"/>
          <w:szCs w:val="24"/>
          <w:u w:val="none"/>
        </w:rPr>
      </w:pPr>
      <w:r w:rsidDel="00000000" w:rsidR="00000000" w:rsidRPr="00000000">
        <w:rPr>
          <w:sz w:val="24"/>
          <w:szCs w:val="24"/>
          <w:rtl w:val="0"/>
        </w:rPr>
        <w:t xml:space="preserve">Call on the direction of interest rates: clearly, positions have to be scaled down before the significant spread widening happens. But, the widening may never take place because interest rates may sell off, or they may rally but only stay there for a short time.</w:t>
      </w:r>
    </w:p>
    <w:p w:rsidR="00000000" w:rsidDel="00000000" w:rsidP="00000000" w:rsidRDefault="00000000" w:rsidRPr="00000000" w14:paraId="00000065">
      <w:pPr>
        <w:numPr>
          <w:ilvl w:val="0"/>
          <w:numId w:val="6"/>
        </w:numPr>
        <w:ind w:left="720" w:hanging="360"/>
        <w:rPr>
          <w:sz w:val="24"/>
          <w:szCs w:val="24"/>
          <w:u w:val="none"/>
        </w:rPr>
      </w:pPr>
      <w:r w:rsidDel="00000000" w:rsidR="00000000" w:rsidRPr="00000000">
        <w:rPr>
          <w:sz w:val="24"/>
          <w:szCs w:val="24"/>
          <w:rtl w:val="0"/>
        </w:rPr>
        <w:t xml:space="preserve">If all market participants are wise to this risk and sell at the same time then there’s a strong momentum effect.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 “less” risky approach is to replace bonds that we think are callable with bonds that are less so. Essentially, de-risking while maintaining the same exposure.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Fact #1. </w:t>
      </w:r>
      <w:r w:rsidDel="00000000" w:rsidR="00000000" w:rsidRPr="00000000">
        <w:rPr>
          <w:rtl w:val="0"/>
        </w:rPr>
        <w:t xml:space="preserve">Risk factor exposures of an IO position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Fact #1.5. Duration-hedged versus unhedged returns of an IO position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Fact #2. </w:t>
      </w:r>
      <w:r w:rsidDel="00000000" w:rsidR="00000000" w:rsidRPr="00000000">
        <w:rPr>
          <w:rtl w:val="0"/>
        </w:rPr>
        <w:t xml:space="preserve">Returns driven by risk factor exposures. 3 main sources of return in this strategy:</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Beta (prepayment risk/IO exposure): Exposure to an overall portfolio of IOs</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Alpha: Spread tightening on individual security picks</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Execution: Exploiting inefficiencies in the OTC market</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Fact #3.</w:t>
      </w:r>
      <w:r w:rsidDel="00000000" w:rsidR="00000000" w:rsidRPr="00000000">
        <w:rPr>
          <w:rtl w:val="0"/>
        </w:rPr>
        <w:t xml:space="preserve"> Prepayment risk premiums are (generally) correlated with multi-year lows in mortgage rates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Graph: IOs spreads versus Media Effect versus time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Why do spreads widen?</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Realized carry drops because of high paydowns: IO carry players take significant losses</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Greater uncertainty about prepayments. Prepayment speeds can be much faster than market forecasts in these multi-year lows -- hard to predict the efficiency of the origination machine, borrower behavior in real-time. Prepayment models calibrated to past behavior.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Fact #4  .</w:t>
      </w:r>
      <w:r w:rsidDel="00000000" w:rsidR="00000000" w:rsidRPr="00000000">
        <w:rPr>
          <w:rtl w:val="0"/>
        </w:rPr>
        <w:t xml:space="preserve"> The spread widenings can lead to significant drawdowns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Table: Spread duration of various prepayment risk products and estimated widening for different spread scenarios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Fact #5.</w:t>
      </w:r>
      <w:r w:rsidDel="00000000" w:rsidR="00000000" w:rsidRPr="00000000">
        <w:rPr>
          <w:rtl w:val="0"/>
        </w:rPr>
        <w:t xml:space="preserve"> If one is not comfortable with this drawdown risk, then there are/were various ways to hedge each of which has its pluses/minuses. Note that any such hedging effort is in effect a macro call on interest rates, volatility etc (“market timing”). Thus, a significant “style factor” in this strategy is to what extent you want to generate excess returns versus a passive portfolio of IOs by managing IO exposure through hedging (“market timing”).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0"/>
        </w:numPr>
        <w:ind w:left="720" w:hanging="360"/>
        <w:rPr>
          <w:u w:val="none"/>
        </w:rPr>
      </w:pPr>
      <w:r w:rsidDel="00000000" w:rsidR="00000000" w:rsidRPr="00000000">
        <w:rPr>
          <w:rtl w:val="0"/>
        </w:rPr>
        <w:t xml:space="preserve">Long duration (if interest rates sell-off strongly you get hurt; basis mismatch between typical rate hedges and MBS products)</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Long call options (if interest rates sell-off strongly you get hurt; basis mismatch between typical option hedges and MBS products)</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Reduced IO exposure (not easy to scale up or down since “generic” bonds are hard to find, particularly with the demise of the IOS market)</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Short IOS (IOS-Structured Products basis needed to be monitored in the past, no longer a real possibility with the market drying up)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Our past simulations over long horizons have shown that dynamically managing IO exposure produces a superior Sharpe Ratio to just being passively long. In practice, the results of implementing this dynamic approach have been spotty over the past 3 years.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Fact #6. </w:t>
      </w:r>
      <w:r w:rsidDel="00000000" w:rsidR="00000000" w:rsidRPr="00000000">
        <w:rPr>
          <w:rtl w:val="0"/>
        </w:rPr>
        <w:t xml:space="preserve">Realized performance of Cello versus basket of competitors over the past 3-4 years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2"/>
        </w:numPr>
        <w:ind w:left="720" w:hanging="360"/>
        <w:rPr>
          <w:u w:val="none"/>
        </w:rPr>
      </w:pPr>
      <w:r w:rsidDel="00000000" w:rsidR="00000000" w:rsidRPr="00000000">
        <w:rPr>
          <w:rtl w:val="0"/>
        </w:rPr>
        <w:t xml:space="preserve">Competitors experienced significant drawdowns in certain scenarios due to their passive exposure. Over the same period, Cello experienced drawdowns that are a fraction of those. Cello hedged through reduced IO exposure and rate calls.</w:t>
      </w:r>
    </w:p>
    <w:p w:rsidR="00000000" w:rsidDel="00000000" w:rsidP="00000000" w:rsidRDefault="00000000" w:rsidRPr="00000000" w14:paraId="0000008A">
      <w:pPr>
        <w:numPr>
          <w:ilvl w:val="0"/>
          <w:numId w:val="12"/>
        </w:numPr>
        <w:ind w:left="720" w:hanging="360"/>
        <w:rPr>
          <w:u w:val="none"/>
        </w:rPr>
      </w:pPr>
      <w:r w:rsidDel="00000000" w:rsidR="00000000" w:rsidRPr="00000000">
        <w:rPr>
          <w:rtl w:val="0"/>
        </w:rPr>
        <w:t xml:space="preserve">Competitors experienced significant gains when the market turned around due to interest rate sell-offs. Cello’s gains were not so great because we had reduced exposure and were, in some cases, still long interest rates. It is not straightforward to add exposure in very rapid interest rate turnarounds given our intensive ground-up bond-picking strategy.</w:t>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In essence, the macro call in managing IO exposure is (1) Whether interest rates will rally to the point that there is projected to be a significant pickup in prepayments; and (2) How quickly interest rates will sell-off once they rally. Regarding the second point, not only do interest rates need to rally, they need to stay low for a while for fast prepayments to be realized and IO holders get hurt. Otherwise, the market tends to shrug off two to three months of fast prepayments. Note however that some MBS Derivatives can be extremely sensitive to these 2-3 months.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Fact #7. </w:t>
      </w:r>
      <w:r w:rsidDel="00000000" w:rsidR="00000000" w:rsidRPr="00000000">
        <w:rPr>
          <w:rtl w:val="0"/>
        </w:rPr>
        <w:t xml:space="preserve">Beta exposure should be a function of:</w:t>
      </w:r>
    </w:p>
    <w:p w:rsidR="00000000" w:rsidDel="00000000" w:rsidP="00000000" w:rsidRDefault="00000000" w:rsidRPr="00000000" w14:paraId="0000008E">
      <w:pPr>
        <w:numPr>
          <w:ilvl w:val="0"/>
          <w:numId w:val="11"/>
        </w:numPr>
        <w:ind w:left="720" w:hanging="360"/>
        <w:rPr>
          <w:u w:val="none"/>
        </w:rPr>
      </w:pPr>
      <w:r w:rsidDel="00000000" w:rsidR="00000000" w:rsidRPr="00000000">
        <w:rPr>
          <w:rtl w:val="0"/>
        </w:rPr>
        <w:t xml:space="preserve">IO spreads versus IO risk. Are IO spreads wide enough to compensate for how much spreads will widen if rates rally enough?</w:t>
      </w:r>
    </w:p>
    <w:p w:rsidR="00000000" w:rsidDel="00000000" w:rsidP="00000000" w:rsidRDefault="00000000" w:rsidRPr="00000000" w14:paraId="0000008F">
      <w:pPr>
        <w:numPr>
          <w:ilvl w:val="0"/>
          <w:numId w:val="11"/>
        </w:numPr>
        <w:ind w:left="720" w:hanging="360"/>
        <w:rPr>
          <w:u w:val="none"/>
        </w:rPr>
      </w:pPr>
      <w:r w:rsidDel="00000000" w:rsidR="00000000" w:rsidRPr="00000000">
        <w:rPr>
          <w:rtl w:val="0"/>
        </w:rPr>
        <w:t xml:space="preserve">Volatility: How expensive is it to hedge the negative convexity inherent in IO positions?</w:t>
      </w:r>
    </w:p>
    <w:p w:rsidR="00000000" w:rsidDel="00000000" w:rsidP="00000000" w:rsidRDefault="00000000" w:rsidRPr="00000000" w14:paraId="00000090">
      <w:pPr>
        <w:numPr>
          <w:ilvl w:val="0"/>
          <w:numId w:val="11"/>
        </w:numPr>
        <w:ind w:left="720" w:hanging="360"/>
        <w:rPr>
          <w:u w:val="none"/>
        </w:rPr>
      </w:pPr>
      <w:r w:rsidDel="00000000" w:rsidR="00000000" w:rsidRPr="00000000">
        <w:rPr>
          <w:rtl w:val="0"/>
        </w:rPr>
        <w:t xml:space="preserve">Liquidity: Are broker-dealers providing liquidity or is one forced to rely on another investor’s bid/offer? More/less liquidity makes it easier/difficult to scale in/out of positions. </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Availability and cost of leverage: Closely tied to liquidity and risk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Fact #8.  </w:t>
      </w:r>
      <w:r w:rsidDel="00000000" w:rsidR="00000000" w:rsidRPr="00000000">
        <w:rPr>
          <w:rtl w:val="0"/>
        </w:rPr>
        <w:t xml:space="preserve">Cello’s market-timing lessons:</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Given emphasis on bond-picking which is by nature time-intensive and idiosyncratic, should narrow the band of IO exposures we take as a fund and have a stronger beta bias. Before 20% to 100%. Now, 50% to 150%.</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Enforce drawdown rules on interest rate-related risks</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Propose an </w:t>
      </w:r>
      <w:r w:rsidDel="00000000" w:rsidR="00000000" w:rsidRPr="00000000">
        <w:rPr>
          <w:i w:val="1"/>
          <w:rtl w:val="0"/>
        </w:rPr>
        <w:t xml:space="preserve">a priori</w:t>
      </w:r>
      <w:r w:rsidDel="00000000" w:rsidR="00000000" w:rsidRPr="00000000">
        <w:rPr>
          <w:rtl w:val="0"/>
        </w:rPr>
        <w:t xml:space="preserve"> range of prepayment/interest rate exposures for different interest rate environments so that there is more clarity about market timing</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prepayment risk does </w:t>
      </w:r>
      <w:r w:rsidDel="00000000" w:rsidR="00000000" w:rsidRPr="00000000">
        <w:rPr>
          <w:i w:val="1"/>
          <w:sz w:val="20"/>
          <w:szCs w:val="20"/>
          <w:rtl w:val="0"/>
        </w:rPr>
        <w:t xml:space="preserve">not </w:t>
      </w:r>
      <w:r w:rsidDel="00000000" w:rsidR="00000000" w:rsidRPr="00000000">
        <w:rPr>
          <w:sz w:val="20"/>
          <w:szCs w:val="20"/>
          <w:rtl w:val="0"/>
        </w:rPr>
        <w:t xml:space="preserve">reflect prepayment variation due to changes in interest rates.</w:t>
      </w:r>
      <w:r w:rsidDel="00000000" w:rsidR="00000000" w:rsidRPr="00000000">
        <w:rPr>
          <w:rtl w:val="0"/>
        </w:rPr>
      </w:r>
    </w:p>
  </w:footnote>
  <w:footnote w:id="0">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w:t>
      </w:r>
      <w:r w:rsidDel="00000000" w:rsidR="00000000" w:rsidRPr="00000000">
        <w:rPr>
          <w:b w:val="1"/>
          <w:sz w:val="20"/>
          <w:szCs w:val="20"/>
          <w:rtl w:val="0"/>
        </w:rPr>
        <w:t xml:space="preserve">risk factor</w:t>
      </w:r>
      <w:r w:rsidDel="00000000" w:rsidR="00000000" w:rsidRPr="00000000">
        <w:rPr>
          <w:sz w:val="20"/>
          <w:szCs w:val="20"/>
          <w:rtl w:val="0"/>
        </w:rPr>
        <w:t xml:space="preserve"> is an </w:t>
      </w:r>
      <w:r w:rsidDel="00000000" w:rsidR="00000000" w:rsidRPr="00000000">
        <w:rPr>
          <w:sz w:val="20"/>
          <w:szCs w:val="20"/>
          <w:u w:val="single"/>
          <w:rtl w:val="0"/>
        </w:rPr>
        <w:t xml:space="preserve">indivisible</w:t>
      </w:r>
      <w:r w:rsidDel="00000000" w:rsidR="00000000" w:rsidRPr="00000000">
        <w:rPr>
          <w:sz w:val="20"/>
          <w:szCs w:val="20"/>
          <w:rtl w:val="0"/>
        </w:rPr>
        <w:t xml:space="preserve"> underlying exposure that explains an investment’s risk and return characteristics. </w:t>
      </w:r>
    </w:p>
  </w:footnote>
  <w:footnote w:id="3">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example, holding an IO/PO combo against a TBA. These types of trades are no longer viable for reasons of liquidity.</w:t>
      </w:r>
    </w:p>
  </w:footnote>
  <w:footnote w:id="2">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MBSs are also exposed to changes in shorter-dated implied volatility but this is effectively the same as realized interest rate volatility (</w:t>
      </w:r>
      <w:r w:rsidDel="00000000" w:rsidR="00000000" w:rsidRPr="00000000">
        <w:rPr>
          <w:b w:val="1"/>
          <w:sz w:val="20"/>
          <w:szCs w:val="20"/>
          <w:rtl w:val="0"/>
        </w:rPr>
        <w:t xml:space="preserve">convexity</w:t>
      </w:r>
      <w:r w:rsidDel="00000000" w:rsidR="00000000" w:rsidRPr="00000000">
        <w:rPr>
          <w:sz w:val="20"/>
          <w:szCs w:val="20"/>
          <w:rtl w:val="0"/>
        </w:rPr>
        <w:t xml:space="preserve">) and as such is rolled into the Interest-rate Risk factor.</w:t>
      </w:r>
    </w:p>
  </w:footnote>
  <w:footnote w:id="4">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Particularly for Agency CMOs. See discussions on the construction of an index for the Prepayment Strategy for further detail.</w:t>
      </w:r>
    </w:p>
  </w:footnote>
  <w:footnote w:id="5">
    <w:p w:rsidR="00000000" w:rsidDel="00000000" w:rsidP="00000000" w:rsidRDefault="00000000" w:rsidRPr="00000000" w14:paraId="000000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With the exception of TBA securities.</w:t>
      </w:r>
    </w:p>
  </w:footnote>
  <w:footnote w:id="6">
    <w:p w:rsidR="00000000" w:rsidDel="00000000" w:rsidP="00000000" w:rsidRDefault="00000000" w:rsidRPr="00000000" w14:paraId="0000009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Of course, the benchmark for the Alpha component of the Prepayment Strategy is the risk-free rate.</w:t>
      </w:r>
    </w:p>
  </w:footnote>
  <w:footnote w:id="7">
    <w:p w:rsidR="00000000" w:rsidDel="00000000" w:rsidP="00000000" w:rsidRDefault="00000000" w:rsidRPr="00000000" w14:paraId="000000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IOS market has seen a substantial decline in liquidity since [] due to increased capital requirements for market makers.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