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20" w:before="120" w:lineRule="auto"/>
        <w:rPr>
          <w:sz w:val="12"/>
          <w:szCs w:val="12"/>
        </w:rPr>
      </w:pPr>
      <w:r w:rsidDel="00000000" w:rsidR="00000000" w:rsidRPr="00000000">
        <w:rPr>
          <w:sz w:val="12"/>
          <w:szCs w:val="12"/>
          <w:rtl w:val="0"/>
        </w:rPr>
        <w:t xml:space="preserve"> </w:t>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hd w:fill="auto" w:val="clear"/>
        <w:spacing w:before="480" w:lineRule="auto"/>
        <w:rPr>
          <w:b w:val="1"/>
          <w:sz w:val="28"/>
          <w:szCs w:val="28"/>
        </w:rPr>
      </w:pPr>
      <w:bookmarkStart w:colFirst="0" w:colLast="0" w:name="_azku1z97iw40" w:id="0"/>
      <w:bookmarkEnd w:id="0"/>
      <w:r w:rsidDel="00000000" w:rsidR="00000000" w:rsidRPr="00000000">
        <w:rPr>
          <w:b w:val="1"/>
          <w:sz w:val="28"/>
          <w:szCs w:val="28"/>
          <w:rtl w:val="0"/>
        </w:rPr>
        <w:t xml:space="preserve">Overall Risk Management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The market risk </w:t>
      </w:r>
      <w:commentRangeStart w:id="0"/>
      <w:r w:rsidDel="00000000" w:rsidR="00000000" w:rsidRPr="00000000">
        <w:rPr>
          <w:rtl w:val="0"/>
        </w:rPr>
        <w:t xml:space="preserve">(investment risk)</w:t>
      </w:r>
      <w:commentRangeEnd w:id="0"/>
      <w:r w:rsidDel="00000000" w:rsidR="00000000" w:rsidRPr="00000000">
        <w:commentReference w:id="0"/>
      </w:r>
      <w:r w:rsidDel="00000000" w:rsidR="00000000" w:rsidRPr="00000000">
        <w:rPr>
          <w:rtl w:val="0"/>
        </w:rPr>
        <w:t xml:space="preserve"> management effort is part of a comprehensive and integrated framework for risk management at Cello that has three planks: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Measurement: </w:t>
      </w:r>
      <w:r w:rsidDel="00000000" w:rsidR="00000000" w:rsidRPr="00000000">
        <w:rPr>
          <w:rtl w:val="0"/>
        </w:rPr>
        <w:t xml:space="preserve">Identification of material risks that Cello’s strategies are subject to along with establishing risk limits for these exposures.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Monitoring:</w:t>
      </w:r>
      <w:r w:rsidDel="00000000" w:rsidR="00000000" w:rsidRPr="00000000">
        <w:rPr>
          <w:rtl w:val="0"/>
        </w:rPr>
        <w:t xml:space="preserve"> Tracking actual risk usage versus limits.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Management:</w:t>
      </w:r>
      <w:r w:rsidDel="00000000" w:rsidR="00000000" w:rsidRPr="00000000">
        <w:rPr>
          <w:rtl w:val="0"/>
        </w:rPr>
        <w:t xml:space="preserve"> Periodically reviewing the overall risk management framework to assess its performance and updating it based on any biases and limitations that emerge from the review.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Cello’s Risk Committee establishes risk measurement criteria, implements processes that monitor the Strategy’s risk profile, and retains responsibility for the overall risk framework while seeking to consistently enhance it. All risk measurement, management, and monitoring is done in-house.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We now discuss how the different components of the risk framework are implemented within the specific context of market risk management.</w:t>
      </w:r>
    </w:p>
    <w:p w:rsidR="00000000" w:rsidDel="00000000" w:rsidP="00000000" w:rsidRDefault="00000000" w:rsidRPr="00000000" w14:paraId="00000009">
      <w:pPr>
        <w:pStyle w:val="Heading1"/>
        <w:keepNext w:val="0"/>
        <w:keepLines w:val="0"/>
        <w:pBdr>
          <w:top w:space="0" w:sz="0" w:val="nil"/>
          <w:left w:space="0" w:sz="0" w:val="nil"/>
          <w:bottom w:space="0" w:sz="0" w:val="nil"/>
          <w:right w:space="0" w:sz="0" w:val="nil"/>
          <w:between w:space="0" w:sz="0" w:val="nil"/>
        </w:pBdr>
        <w:shd w:fill="auto" w:val="clear"/>
        <w:spacing w:before="480" w:lineRule="auto"/>
        <w:rPr>
          <w:b w:val="1"/>
          <w:sz w:val="28"/>
          <w:szCs w:val="28"/>
        </w:rPr>
      </w:pPr>
      <w:bookmarkStart w:colFirst="0" w:colLast="0" w:name="_gww1rizbx2z4" w:id="1"/>
      <w:bookmarkEnd w:id="1"/>
      <w:r w:rsidDel="00000000" w:rsidR="00000000" w:rsidRPr="00000000">
        <w:rPr>
          <w:b w:val="1"/>
          <w:sz w:val="28"/>
          <w:szCs w:val="28"/>
          <w:rtl w:val="0"/>
        </w:rPr>
        <w:t xml:space="preserve">Measurement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The largest risk factors that the Agency MBS strategy is exposed to are prepayment risk, interest rate risk, and MBS basis risk. Exposures with respect to these factors are calculated using an MBS OAS pricing model that shocks individual factors by a constant amount or a percentage movement. Exposure calculations provide insight into the potential profits and losses on a portfolio given changes in the market. All exposures are considered both on a gross (longs and shorts) and net (longs net of shorts) basis to account for basis risk and the impact of any financing leverage.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 risk limits for these exposures are determined using historical simulation. The simulation </w:t>
      </w:r>
      <w:r w:rsidDel="00000000" w:rsidR="00000000" w:rsidRPr="00000000">
        <w:rPr>
          <w:rtl w:val="0"/>
        </w:rPr>
        <w:t xml:space="preserve">sets up several hypothetical portfolios</w:t>
      </w:r>
      <w:r w:rsidDel="00000000" w:rsidR="00000000" w:rsidRPr="00000000">
        <w:rPr>
          <w:rtl w:val="0"/>
        </w:rPr>
        <w:t xml:space="preserve"> corresponding to various factor exposures and runs them over time to obtain PnL distributions for each portfolio. These distributions are then compared to the risk appetite (discussed in further detail below) to determine which to determine which portfolios are </w:t>
      </w:r>
      <w:r w:rsidDel="00000000" w:rsidR="00000000" w:rsidRPr="00000000">
        <w:rPr>
          <w:i w:val="1"/>
          <w:rtl w:val="0"/>
        </w:rPr>
        <w:t xml:space="preserve">admissible</w:t>
      </w:r>
      <w:r w:rsidDel="00000000" w:rsidR="00000000" w:rsidRPr="00000000">
        <w:rPr>
          <w:rtl w:val="0"/>
        </w:rPr>
        <w:t xml:space="preserve">. The admissible portfolios determine the limits to set in terms of the various factor exposures. Risk limits are specified for durations, partial durations and convexity. The risk partials are complemented with scenario analysis corresponding to specific perturbations of the yield curve.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The </w:t>
      </w:r>
      <w:r w:rsidDel="00000000" w:rsidR="00000000" w:rsidRPr="00000000">
        <w:rPr>
          <w:b w:val="1"/>
          <w:rtl w:val="0"/>
        </w:rPr>
        <w:t xml:space="preserve">risk appetite</w:t>
      </w:r>
      <w:r w:rsidDel="00000000" w:rsidR="00000000" w:rsidRPr="00000000">
        <w:rPr>
          <w:rtl w:val="0"/>
        </w:rPr>
        <w:t xml:space="preserve"> defines the PnL volatility and tail risk (the risk of catastrophic loss) the strategy is willing to accept in order to generate a targeted return. This appetite is extracted from a combination of looking at historical risk-return profile of the strategy alongside the prevailing opportunity set.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Tail scenarios are designed to capture both market events (directional movements) and situations of market illiquidity.  The tail risk measure used for the strategy is a Historical VaR that incorporates significant episodes of stress widening such as October 2008. There is also a limit imposed on the quantity of non-prepayment related risk (Interest Rate risk + MBS basis risk) that the strategy is willing to accept.  Probabilities of drawdown thresholds are calculated as well as conditional drawdown values.</w:t>
      </w:r>
    </w:p>
    <w:p w:rsidR="00000000" w:rsidDel="00000000" w:rsidP="00000000" w:rsidRDefault="00000000" w:rsidRPr="00000000" w14:paraId="0000000E">
      <w:pPr>
        <w:pStyle w:val="Heading1"/>
        <w:keepNext w:val="0"/>
        <w:keepLines w:val="0"/>
        <w:pBdr>
          <w:top w:space="0" w:sz="0" w:val="nil"/>
          <w:left w:space="0" w:sz="0" w:val="nil"/>
          <w:bottom w:space="0" w:sz="0" w:val="nil"/>
          <w:right w:space="0" w:sz="0" w:val="nil"/>
          <w:between w:space="0" w:sz="0" w:val="nil"/>
        </w:pBdr>
        <w:shd w:fill="auto" w:val="clear"/>
        <w:spacing w:before="480" w:lineRule="auto"/>
        <w:rPr>
          <w:b w:val="1"/>
          <w:sz w:val="28"/>
          <w:szCs w:val="28"/>
        </w:rPr>
      </w:pPr>
      <w:bookmarkStart w:colFirst="0" w:colLast="0" w:name="_nqdwml15pem7" w:id="2"/>
      <w:bookmarkEnd w:id="2"/>
      <w:r w:rsidDel="00000000" w:rsidR="00000000" w:rsidRPr="00000000">
        <w:rPr>
          <w:b w:val="1"/>
          <w:sz w:val="28"/>
          <w:szCs w:val="28"/>
          <w:rtl w:val="0"/>
        </w:rPr>
        <w:t xml:space="preserve">Monitoring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A suite of reports quantifying the strategy’s exposures to the key risk factors identified by Cello are generated on a daily basis. A daily PnL attribution framework is used to check on the robustness of the portfolio risk factor decomposition. Apart from exposure reports, the risk reporting also provides an indication of the overall volatility of the portfolio, its Historical VaR, and the effectiveness of the risk management framework in capturing the realized PnL distribution of the portfolio.</w:t>
      </w:r>
    </w:p>
    <w:p w:rsidR="00000000" w:rsidDel="00000000" w:rsidP="00000000" w:rsidRDefault="00000000" w:rsidRPr="00000000" w14:paraId="00000010">
      <w:pPr>
        <w:pStyle w:val="Heading1"/>
        <w:keepNext w:val="0"/>
        <w:keepLines w:val="0"/>
        <w:pBdr>
          <w:top w:space="0" w:sz="0" w:val="nil"/>
          <w:left w:space="0" w:sz="0" w:val="nil"/>
          <w:bottom w:space="0" w:sz="0" w:val="nil"/>
          <w:right w:space="0" w:sz="0" w:val="nil"/>
          <w:between w:space="0" w:sz="0" w:val="nil"/>
        </w:pBdr>
        <w:shd w:fill="auto" w:val="clear"/>
        <w:spacing w:before="480" w:lineRule="auto"/>
        <w:rPr>
          <w:b w:val="1"/>
          <w:sz w:val="28"/>
          <w:szCs w:val="28"/>
        </w:rPr>
      </w:pPr>
      <w:bookmarkStart w:colFirst="0" w:colLast="0" w:name="_6hrflg3f20e6" w:id="3"/>
      <w:bookmarkEnd w:id="3"/>
      <w:r w:rsidDel="00000000" w:rsidR="00000000" w:rsidRPr="00000000">
        <w:rPr>
          <w:b w:val="1"/>
          <w:sz w:val="28"/>
          <w:szCs w:val="28"/>
          <w:rtl w:val="0"/>
        </w:rPr>
        <w:t xml:space="preserve">Management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 portfolio is delta hedged on a regular basis to ensure that risk exposures remain within the specified limits. The opportunity set is also continuously reevaluated in order to gauge whether the Investment Strategy’s risk appetite needs to be modified in order to accommodate prevailing market conditions. With respect to tail risk, in addition to the VaR calculation, a significant portion of Cello’s ability to manage tail risk stems from its proactive stance towards optimizing portfolio liquidity and remaining engaged on both sides of the market. A focus on turnover on the CMO portfolio and a rigorous pricing process ensures that positions are appropriately marked along with extracting information in terms of the depth and breadth of the market. Avoiding odd lots and an unwieldy number of portfolio line items enhances portfolio liquidity.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 risk management framework holds as a core belief that effective portfolio management avoids relying solely on models.  In assessing risk metrics, the framework must also incorporate an understanding of the limits and weaknesses of models, price signals, and the technical behavior of risk premiums across market environments.  For example, market interest rate durations are often different from model interest rate durations.  Cello systematically tracks differences between the model and the market through a proprietary algorithm and incorporates these deviations in portfolio management decisions.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 </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The overall risk framework itself is supervised by Cello’s Risk Committee which is responsible for the following functions: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Determining what risk measures are to be monitored within the overall framework;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Determining what risk constraints (soft or hard limits) are to be applied;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Reevaluating risk-return targets, specific positions or strategic views when risk limits are breached; and,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Scheduling periodic reviews to assess the biases and limitations of its risk measurement methodologies (including risk management models) and adjusting for these in measuring, monitoring and making decisions about risk. This ex-post analysis also assesses whether factor risk-return profiles are within the boundaries of their assumptions.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360" w:lineRule="auto"/>
        <w:rPr/>
      </w:pPr>
      <w:r w:rsidDel="00000000" w:rsidR="00000000" w:rsidRPr="00000000">
        <w:rPr>
          <w:rtl w:val="0"/>
        </w:rPr>
        <w:t xml:space="preserve">The Risk Committee consists of knowledgeable personnel to supervise risk analysis, measurement, and monitoring, and to take responsibility for the creation of policies and procedures covering all areas of risk management.</w:t>
      </w:r>
    </w:p>
    <w:p w:rsidR="00000000" w:rsidDel="00000000" w:rsidP="00000000" w:rsidRDefault="00000000" w:rsidRPr="00000000" w14:paraId="0000001A">
      <w:pPr>
        <w:pStyle w:val="Heading1"/>
        <w:keepNext w:val="0"/>
        <w:keepLines w:val="0"/>
        <w:pBdr>
          <w:top w:space="0" w:sz="0" w:val="nil"/>
          <w:left w:space="0" w:sz="0" w:val="nil"/>
          <w:bottom w:space="0" w:sz="0" w:val="nil"/>
          <w:right w:space="0" w:sz="0" w:val="nil"/>
          <w:between w:space="0" w:sz="0" w:val="nil"/>
        </w:pBdr>
        <w:shd w:fill="auto" w:val="clear"/>
        <w:spacing w:before="480" w:lineRule="auto"/>
        <w:rPr>
          <w:b w:val="1"/>
          <w:sz w:val="28"/>
          <w:szCs w:val="28"/>
        </w:rPr>
      </w:pPr>
      <w:bookmarkStart w:colFirst="0" w:colLast="0" w:name="_dmd2r9f64dj2" w:id="4"/>
      <w:bookmarkEnd w:id="4"/>
      <w:r w:rsidDel="00000000" w:rsidR="00000000" w:rsidRPr="00000000">
        <w:rPr>
          <w:b w:val="1"/>
          <w:sz w:val="28"/>
          <w:szCs w:val="28"/>
          <w:rtl w:val="0"/>
        </w:rPr>
        <w:t xml:space="preserve">Strengths and Weaknesses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The strength of the risk management process lies in its structure and transparency -- there is a systematic approach to identifying all the risks that the Investment Strategy is exposed to and then finding ways to measure, monitor and manage these risks. A significant investment in modeling and technology ensures that there is minimal reliance on ad-hoc assumptions.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In terms of weaknesses, there is a non-trivial amount of model risk</w:t>
      </w:r>
      <w:r w:rsidDel="00000000" w:rsidR="00000000" w:rsidRPr="00000000">
        <w:rPr>
          <w:b w:val="1"/>
          <w:rtl w:val="0"/>
        </w:rPr>
        <w:t xml:space="preserve"> </w:t>
      </w:r>
      <w:r w:rsidDel="00000000" w:rsidR="00000000" w:rsidRPr="00000000">
        <w:rPr>
          <w:rtl w:val="0"/>
        </w:rPr>
        <w:t xml:space="preserve">in the risk management process. Risk exposures and hedging effectiveness are to a significant extent a function of pricing models – different models can give very different answers. This is mitigated through a continual monitoring and refinement of all models (e.g. prepayment model) employed in the investment and risk management processes, and also through a detailed daily PnL attribution.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t xml:space="preserve">Cello believes that its existing risk management process compares very favorably with existing systems/tools. The system has been extensively battle-tested by managing through bouts of significant spread and interest rate volatility. Cello is constantly looking at ways to improve and enhance its risk management processes given that it holds that investment and risk are two faces of the same coin.  </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Rule="auto"/>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t xml:space="preserve"> M</w:t>
      </w:r>
      <w:r w:rsidDel="00000000" w:rsidR="00000000" w:rsidRPr="00000000">
        <w:rPr>
          <w:b w:val="1"/>
          <w:rtl w:val="0"/>
        </w:rPr>
        <w:t xml:space="preserve">arket risk </w:t>
      </w:r>
      <w:r w:rsidDel="00000000" w:rsidR="00000000" w:rsidRPr="00000000">
        <w:rPr>
          <w:rtl w:val="0"/>
        </w:rPr>
        <w:t xml:space="preserve">can be defined as the risk of losses from movements in the level or volatility of risk factors.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t xml:space="preserve"> Mention model risk and liquidity risk in the next iteration?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sz w:val="28"/>
          <w:szCs w:val="28"/>
        </w:rPr>
      </w:pPr>
      <w:r w:rsidDel="00000000" w:rsidR="00000000" w:rsidRPr="00000000">
        <w:rPr>
          <w:rtl w:val="0"/>
        </w:rPr>
      </w:r>
    </w:p>
    <w:sectPr>
      <w:pgSz w:h="15840" w:w="12240"/>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ntoine Schetritt" w:id="0" w:date="2016-05-20T20:10:08Z">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you equating market risk with investment risk?  Perhaps investment risk is a broader term which includes investment risk as one component.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