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Treasury OAS versus Swap OAS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look at trends in Treasury OASs versus Swap OASs quickly bring us to the realization that the “MBS Basis” (regardless of the benchmark yield curve used in the comparison) is significantly influenced by macro/secular factors -- in other words, deciding which benchmark curve to use is probably a strategy call in itself. For example, the MBS-Swap link has weakened in recent years because of, among other factors: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A decline in convexity hedgers in terms of their relative market share as institutional holders of MBS. Of course, the GSEs are a key part of this decline but it’s also worth mentioning that REIT MBS portfolios have </w:t>
      </w:r>
      <w:r w:rsidDel="00000000" w:rsidR="00000000" w:rsidRPr="00000000">
        <w:rPr>
          <w:rtl w:val="0"/>
        </w:rPr>
        <w:t xml:space="preserve">dwindled to $230bb, compared to $360bb a year ago.</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Swap spreads have compressed significantly potentially as repo rates move higher and banks attempt to decrease their reliance on short-term funding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Putting balance sheet and technical issues such as changes in the ownership structure aside, it seems hard to argue that Treasuries would be a better hedge for MBS than Swaps over any reasonably long period of time that includes a “flight-to-quality” move.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there’s also the point that the term “Treasury OAS” is not particularly well-defined. Most Treasury Yield curves constructions do not take repo rates into account and it is not at all clear what the appropriate implied volatility “surface” should be for Treasury instruments.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Having said all of this, as the first paragraph suggests, it would make sense to focus on Treasury OAS versus Swap OAS if it were in the context of some underlying macro call.</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