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Right now we're using a 1-month lag across products such as FNMA, GNMA etc in our incentive calculations. A better assumption would be to allow the following kind of variations: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9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222222"/>
          <w:sz w:val="28"/>
          <w:szCs w:val="28"/>
          <w:highlight w:val="white"/>
          <w:rtl w:val="0"/>
        </w:rPr>
        <w:t xml:space="preserve">Across months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660" w:hanging="360"/>
        <w:rPr>
          <w:sz w:val="28"/>
          <w:szCs w:val="28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For example: 0% current month, 50% 1-mo ago, 50% 2-months ago, 0% 3 months ago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9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222222"/>
          <w:sz w:val="28"/>
          <w:szCs w:val="28"/>
          <w:highlight w:val="white"/>
          <w:rtl w:val="0"/>
        </w:rPr>
        <w:t xml:space="preserve">By product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660" w:hanging="360"/>
        <w:rPr>
          <w:sz w:val="28"/>
          <w:szCs w:val="28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For example: (0,50, 50, 0) for FNMAs versus (0, 25, 75, 0) for GNMAs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9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222222"/>
          <w:sz w:val="28"/>
          <w:szCs w:val="28"/>
          <w:highlight w:val="white"/>
          <w:rtl w:val="0"/>
        </w:rPr>
        <w:t xml:space="preserve">By loan/pool/repline age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660" w:hanging="360"/>
        <w:rPr>
          <w:sz w:val="28"/>
          <w:szCs w:val="28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For example: (5, 50, 45, 0) for FNMAs with WALA &lt; 18 mos and (0, 40, 50, 10) for FNMAs with WALA &gt; 18.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9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222222"/>
          <w:sz w:val="28"/>
          <w:szCs w:val="28"/>
          <w:highlight w:val="white"/>
          <w:rtl w:val="0"/>
        </w:rPr>
        <w:t xml:space="preserve">Allow the lag structure to vary from month-to-month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660" w:hanging="360"/>
        <w:rPr>
          <w:sz w:val="28"/>
          <w:szCs w:val="28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For example, Ellie Mae publishes point averages of lag times for various products on a monthly basis and we could incorporate these into our database (a substantial amount of backfilling would be required). We would need to convert the point average into a distribution.</w:t>
      </w:r>
    </w:p>
    <w:p w:rsidR="00000000" w:rsidDel="00000000" w:rsidP="00000000" w:rsidRDefault="00000000" w:rsidRPr="00000000" w14:paraId="0000000B">
      <w:pPr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Allowing month-by-month variation in the average lag would then also require us to project lags on the forward paths.</w:t>
      </w:r>
    </w:p>
    <w:p w:rsidR="00000000" w:rsidDel="00000000" w:rsidP="00000000" w:rsidRDefault="00000000" w:rsidRPr="00000000" w14:paraId="0000000D">
      <w:pPr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The media effect and burnout should use the same mortgage rate resulting from this new lag structure.</w:t>
      </w:r>
      <w:r w:rsidDel="00000000" w:rsidR="00000000" w:rsidRPr="00000000">
        <w:rPr>
          <w:color w:val="222222"/>
          <w:sz w:val="19"/>
          <w:szCs w:val="19"/>
          <w:highlight w:val="white"/>
        </w:rPr>
        <w:drawing>
          <wp:inline distB="114300" distT="114300" distL="114300" distR="114300">
            <wp:extent cx="190500" cy="7620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b w:val="1"/>
          <w:color w:val="222222"/>
          <w:sz w:val="28"/>
          <w:szCs w:val="28"/>
          <w:highlight w:val="white"/>
          <w:rtl w:val="0"/>
        </w:rPr>
        <w:t xml:space="preserve">Turnover Lag versus Refinancing Lag</w:t>
      </w:r>
    </w:p>
    <w:p w:rsidR="00000000" w:rsidDel="00000000" w:rsidP="00000000" w:rsidRDefault="00000000" w:rsidRPr="00000000" w14:paraId="00000011">
      <w:pPr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We should have different lags for turnover versus refinancing</w:t>
      </w:r>
    </w:p>
    <w:p w:rsidR="00000000" w:rsidDel="00000000" w:rsidP="00000000" w:rsidRDefault="00000000" w:rsidRPr="00000000" w14:paraId="00000012">
      <w:pPr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b w:val="1"/>
          <w:color w:val="222222"/>
          <w:sz w:val="28"/>
          <w:szCs w:val="28"/>
          <w:highlight w:val="white"/>
          <w:rtl w:val="0"/>
        </w:rPr>
        <w:t xml:space="preserve">Changing the Lag Structure</w:t>
      </w:r>
    </w:p>
    <w:p w:rsidR="00000000" w:rsidDel="00000000" w:rsidP="00000000" w:rsidRDefault="00000000" w:rsidRPr="00000000" w14:paraId="00000014">
      <w:pPr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Changing lags changes the monthly incentive faced by a mortgage which is turn also changes other downstream incentive-dependent measures such as burnout and the media effect.</w:t>
      </w:r>
    </w:p>
    <w:p w:rsidR="00000000" w:rsidDel="00000000" w:rsidP="00000000" w:rsidRDefault="00000000" w:rsidRPr="00000000" w14:paraId="00000015">
      <w:pPr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19"/>
        <w:szCs w:val="19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19"/>
        <w:szCs w:val="19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