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p5rdt7l0raha" w:id="0"/>
      <w:bookmarkEnd w:id="0"/>
      <w:r w:rsidDel="00000000" w:rsidR="00000000" w:rsidRPr="00000000">
        <w:rPr>
          <w:rtl w:val="0"/>
        </w:rPr>
        <w:t xml:space="preserve">Prepaid Balance Reallocation And Characteristics Update In Media Effect v5.0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August 2018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Universe and New Origination Representation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Universe Representation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representation of the current universe of conventional 30yr Fixed Mortgages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source is FHL Loan Level data with ticker FGLMC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Bucket the universe by WAC buckets, range from 3.25% to 7.875% with an incremental step of 12.5 bps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available to Scale infrastructure via CDU files for each Factor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New Origination Representation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single repline of the newly originated loans of conventional 30yr Fixed Mortgages.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File use the data originated within the recent six months (between March to August 2018).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Bucket the universe by WAC buckets, range from 3.25% to 7.875% with an incremental step of 12.5 bps.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static file is made available to Scale infrastructure via CDU files. If any update is necessary for the new origination representation, we need to manually make the changes.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2. Prepayment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Calculate the SMM for each WAC bucket of the Universe forward for next period. Model needs the Media Effect for the prevailing month to calculate the 1-period ahead projection which in turn determines the Media Effect for that month.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SMM is calculated by calling the full prepayment model (Baton_vX.XX) on each WAC bucket of the Universe. Version of prepayment model is adjustable in the model config file.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3. Prepaid Balance Reallocation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Assume the total balance of the Universe is stable, the New Originated Balance equals to the Prepaid Balance. T</w:t>
      </w:r>
      <w:r w:rsidDel="00000000" w:rsidR="00000000" w:rsidRPr="00000000">
        <w:rPr>
          <w:rtl w:val="0"/>
        </w:rPr>
        <w:t xml:space="preserve">he SMM of each repline determines the amount of New Originated Loans.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prepaid balance will be reallocated to one WAC bucket. The bucket index is calculated by using Mortgage Rate + Rate_WAC_Spread. Using the FGLMC loans with FICO &gt;= 740 and OLTV &lt;= 75, a six months average spread roughly equals to 31 bps.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Rate_WAC_Spread is adjustable in the model config file. The default value is set to 0 currently. (Setting the spread at level of 31 bps will cause the ME steadily increase under constant mortgage rate path)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4. Characteristics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Update For New Originated Balance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 all the prepaid balance going into one WAC bucket, the loan characteristics will be updated using weight-average of prepaid balance and original bucket balance.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  <w:sectPr>
          <w:pgSz w:h="15840" w:w="12240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  <w:t xml:space="preserve">A list of characteristics that will be updated include: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wala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burnout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acls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cltv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refiElig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pct_tpo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pct_HARPed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HARP_eligible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pct_second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pct_investor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pct_refi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wacls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fico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sato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hpa_cum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pct_purchase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pct_second_lien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wam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</w:rPr>
        <w:sectPr>
          <w:type w:val="continuous"/>
          <w:pgSz w:h="15840" w:w="12240"/>
          <w:pgMar w:bottom="1440" w:top="1440" w:left="1440" w:right="1440" w:header="0" w:footer="72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b w:val="1"/>
          <w:rtl w:val="0"/>
        </w:rPr>
        <w:t xml:space="preserve">pct_dq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following characteristics will be updated separately: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: sum of WAC bucket and prepaid balance.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wac</w:t>
      </w:r>
      <w:r w:rsidDel="00000000" w:rsidR="00000000" w:rsidRPr="00000000">
        <w:rPr>
          <w:rtl w:val="0"/>
        </w:rPr>
        <w:t xml:space="preserve">: not updated.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refi_incentive / turn_incentive</w:t>
      </w:r>
      <w:r w:rsidDel="00000000" w:rsidR="00000000" w:rsidRPr="00000000">
        <w:rPr>
          <w:rtl w:val="0"/>
        </w:rPr>
        <w:t xml:space="preserve">: will not be updated directly. Instead, will use the updated CLTV/FICO/LoanSize, to project the next term incentive using the Regular Update Algorithm For Universe Representation (next section).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Regular Update For Universe Representation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Scale will project all the loan characteristics for one period forward.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regular update algorithm will be called after the new originated balance update.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WALA and WAM will not be updated. So all repline will be active up to 360 periods.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5. Media Effect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Media Effect is c</w:t>
      </w:r>
      <w:r w:rsidDel="00000000" w:rsidR="00000000" w:rsidRPr="00000000">
        <w:rPr>
          <w:rtl w:val="0"/>
        </w:rPr>
        <w:t xml:space="preserve">alculated after the Regular Update For Universe. Incentive of each WAC bucket will be used to determine the Media Effect balances.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Incentive is defined as the “full” definition of the latest refinance_incentive calculation, which include LLPA, PMI, MIP, fixed cast, refi into conventional or into FHA.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incentiev_threshold is currently set to be 25 bps. Scale will do a linear interpolation from 10 bps lower to 10 bps higher around the incentiev_threshold (15 bps to 35 bps). incentiev_threshold is adjustable in the model config file.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 Effect is the ratio between ME balance and total balance of the universe.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Media Effect will be input of the Prepayment Calculation of section 2 for the next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/>
      <w:pgMar w:bottom="1440" w:top="144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