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222222"/>
          <w:sz w:val="36"/>
          <w:szCs w:val="36"/>
          <w:highlight w:val="white"/>
        </w:rPr>
      </w:pPr>
      <w:r w:rsidDel="00000000" w:rsidR="00000000" w:rsidRPr="00000000">
        <w:rPr>
          <w:b w:val="1"/>
          <w:color w:val="222222"/>
          <w:sz w:val="36"/>
          <w:szCs w:val="36"/>
          <w:highlight w:val="white"/>
          <w:rtl w:val="0"/>
        </w:rPr>
        <w:t xml:space="preserve">Prepayment Model Tracking: General</w:t>
      </w:r>
    </w:p>
    <w:p w:rsidR="00000000" w:rsidDel="00000000" w:rsidP="00000000" w:rsidRDefault="00000000" w:rsidRPr="00000000" w14:paraId="00000002">
      <w:pPr>
        <w:rPr>
          <w:color w:val="222222"/>
          <w:sz w:val="36"/>
          <w:szCs w:val="36"/>
          <w:highlight w:val="white"/>
        </w:rPr>
      </w:pPr>
      <w:r w:rsidDel="00000000" w:rsidR="00000000" w:rsidRPr="00000000">
        <w:rPr>
          <w:rtl w:val="0"/>
        </w:rPr>
      </w:r>
    </w:p>
    <w:p w:rsidR="00000000" w:rsidDel="00000000" w:rsidP="00000000" w:rsidRDefault="00000000" w:rsidRPr="00000000" w14:paraId="00000003">
      <w:pPr>
        <w:rPr>
          <w:color w:val="222222"/>
          <w:sz w:val="28"/>
          <w:szCs w:val="28"/>
          <w:highlight w:val="white"/>
        </w:rPr>
      </w:pPr>
      <w:r w:rsidDel="00000000" w:rsidR="00000000" w:rsidRPr="00000000">
        <w:rPr>
          <w:color w:val="222222"/>
          <w:sz w:val="28"/>
          <w:szCs w:val="28"/>
          <w:highlight w:val="white"/>
          <w:rtl w:val="0"/>
        </w:rPr>
        <w:t xml:space="preserve">The prepayment model is calibrated in R, an environment for statistical computing, and implemented in C++. Consequently, there are two items of software that provide prepayment projections -- one in R and one in C++. R provides a very flexible and productivity-enhancing environment for prepayment model development while C++ provides the needed speed in computationally intensive calculations that serve as the backbone of mortgage analytics. Before releasing a production version of the prepayment model in C++, intensive testing is done to ensure tie-out between the R and C++ versions. Nevertheless, the different language versions of the model will not produce identical outputs given the same input.</w:t>
      </w:r>
    </w:p>
    <w:p w:rsidR="00000000" w:rsidDel="00000000" w:rsidP="00000000" w:rsidRDefault="00000000" w:rsidRPr="00000000" w14:paraId="00000004">
      <w:pPr>
        <w:rPr>
          <w:color w:val="222222"/>
          <w:sz w:val="28"/>
          <w:szCs w:val="28"/>
          <w:highlight w:val="white"/>
        </w:rPr>
      </w:pPr>
      <w:r w:rsidDel="00000000" w:rsidR="00000000" w:rsidRPr="00000000">
        <w:rPr>
          <w:rtl w:val="0"/>
        </w:rPr>
      </w:r>
    </w:p>
    <w:p w:rsidR="00000000" w:rsidDel="00000000" w:rsidP="00000000" w:rsidRDefault="00000000" w:rsidRPr="00000000" w14:paraId="00000005">
      <w:pPr>
        <w:rPr>
          <w:color w:val="222222"/>
          <w:sz w:val="28"/>
          <w:szCs w:val="28"/>
          <w:highlight w:val="white"/>
        </w:rPr>
      </w:pPr>
      <w:r w:rsidDel="00000000" w:rsidR="00000000" w:rsidRPr="00000000">
        <w:rPr>
          <w:color w:val="222222"/>
          <w:sz w:val="28"/>
          <w:szCs w:val="28"/>
          <w:highlight w:val="white"/>
          <w:rtl w:val="0"/>
        </w:rPr>
        <w:t xml:space="preserve">Prepayment model tracking is a process to evaluate the model’s forecasting effectiveness. As such, it is closely tied to the process of calibrating the model since both processes typically rely on the same error measure. A tracking report shows realized prepayments versus model forecasts for various different stratifications of the universe of reported prepayment data.  </w:t>
      </w:r>
    </w:p>
    <w:p w:rsidR="00000000" w:rsidDel="00000000" w:rsidP="00000000" w:rsidRDefault="00000000" w:rsidRPr="00000000" w14:paraId="00000006">
      <w:pPr>
        <w:rPr>
          <w:color w:val="222222"/>
          <w:sz w:val="28"/>
          <w:szCs w:val="28"/>
          <w:highlight w:val="white"/>
        </w:rPr>
      </w:pPr>
      <w:r w:rsidDel="00000000" w:rsidR="00000000" w:rsidRPr="00000000">
        <w:rPr>
          <w:rtl w:val="0"/>
        </w:rPr>
      </w:r>
    </w:p>
    <w:p w:rsidR="00000000" w:rsidDel="00000000" w:rsidP="00000000" w:rsidRDefault="00000000" w:rsidRPr="00000000" w14:paraId="00000007">
      <w:pPr>
        <w:rPr>
          <w:color w:val="222222"/>
          <w:sz w:val="28"/>
          <w:szCs w:val="28"/>
          <w:highlight w:val="white"/>
        </w:rPr>
      </w:pPr>
      <w:r w:rsidDel="00000000" w:rsidR="00000000" w:rsidRPr="00000000">
        <w:rPr>
          <w:color w:val="222222"/>
          <w:sz w:val="28"/>
          <w:szCs w:val="28"/>
          <w:highlight w:val="white"/>
          <w:rtl w:val="0"/>
        </w:rPr>
        <w:t xml:space="preserve">There are several different kinds of prepayment model tracking that we currently produce: </w:t>
      </w:r>
    </w:p>
    <w:p w:rsidR="00000000" w:rsidDel="00000000" w:rsidP="00000000" w:rsidRDefault="00000000" w:rsidRPr="00000000" w14:paraId="00000008">
      <w:pPr>
        <w:numPr>
          <w:ilvl w:val="0"/>
          <w:numId w:val="2"/>
        </w:numPr>
        <w:ind w:left="940" w:hanging="360"/>
        <w:rPr>
          <w:sz w:val="28"/>
          <w:szCs w:val="28"/>
        </w:rPr>
      </w:pPr>
      <w:r w:rsidDel="00000000" w:rsidR="00000000" w:rsidRPr="00000000">
        <w:rPr>
          <w:color w:val="222222"/>
          <w:sz w:val="28"/>
          <w:szCs w:val="28"/>
          <w:highlight w:val="white"/>
          <w:rtl w:val="0"/>
        </w:rPr>
        <w:t xml:space="preserve">Research-defined buckets that include pool-level data dating back to 1994. This data set is currently mostly internal to Research and is used to fit the model. </w:t>
      </w:r>
    </w:p>
    <w:p w:rsidR="00000000" w:rsidDel="00000000" w:rsidP="00000000" w:rsidRDefault="00000000" w:rsidRPr="00000000" w14:paraId="00000009">
      <w:pPr>
        <w:numPr>
          <w:ilvl w:val="0"/>
          <w:numId w:val="2"/>
        </w:numPr>
        <w:ind w:left="940" w:hanging="360"/>
        <w:rPr>
          <w:sz w:val="28"/>
          <w:szCs w:val="28"/>
        </w:rPr>
      </w:pPr>
      <w:r w:rsidDel="00000000" w:rsidR="00000000" w:rsidRPr="00000000">
        <w:rPr>
          <w:color w:val="222222"/>
          <w:sz w:val="28"/>
          <w:szCs w:val="28"/>
          <w:highlight w:val="white"/>
          <w:rtl w:val="0"/>
        </w:rPr>
        <w:t xml:space="preserve">Single repline tracking for a selection of cohorts. The collateral characteristics for these cohorts are obtained from a database process that generates a sequence of CDUs corresponding to the evolving collateral characteristics (and other indicative data) of this cohort over time. This PDF report is produced by Research and shared with the PM team coincident with prepayment model releases.</w:t>
      </w:r>
    </w:p>
    <w:p w:rsidR="00000000" w:rsidDel="00000000" w:rsidP="00000000" w:rsidRDefault="00000000" w:rsidRPr="00000000" w14:paraId="0000000A">
      <w:pPr>
        <w:numPr>
          <w:ilvl w:val="0"/>
          <w:numId w:val="2"/>
        </w:numPr>
        <w:ind w:left="940" w:hanging="360"/>
        <w:rPr>
          <w:sz w:val="28"/>
          <w:szCs w:val="28"/>
        </w:rPr>
      </w:pPr>
      <w:r w:rsidDel="00000000" w:rsidR="00000000" w:rsidRPr="00000000">
        <w:rPr>
          <w:color w:val="222222"/>
          <w:sz w:val="28"/>
          <w:szCs w:val="28"/>
          <w:highlight w:val="white"/>
          <w:rtl w:val="0"/>
        </w:rPr>
        <w:t xml:space="preserve">Pool- and spec pool cohort-tracking in Symphony. Every month, Research creates a file that contains actual versus predicted prepayments for the universe of MBS pools. This file is uploaded into Symphony and forms the basis for Symphony tracking. In particular, Symphony tracking on cohorts such as FN30.400.12(GEN) is created by aggregating pool-level actual and predicted prepayments on a month-by-month basis for all pools that are considered to belong to this cohort.</w:t>
      </w:r>
    </w:p>
    <w:p w:rsidR="00000000" w:rsidDel="00000000" w:rsidP="00000000" w:rsidRDefault="00000000" w:rsidRPr="00000000" w14:paraId="0000000B">
      <w:pPr>
        <w:numPr>
          <w:ilvl w:val="0"/>
          <w:numId w:val="2"/>
        </w:numPr>
        <w:ind w:left="940" w:hanging="360"/>
        <w:rPr>
          <w:sz w:val="28"/>
          <w:szCs w:val="28"/>
        </w:rPr>
      </w:pPr>
      <w:r w:rsidDel="00000000" w:rsidR="00000000" w:rsidRPr="00000000">
        <w:rPr>
          <w:color w:val="222222"/>
          <w:sz w:val="28"/>
          <w:szCs w:val="28"/>
          <w:highlight w:val="white"/>
          <w:rtl w:val="0"/>
        </w:rPr>
        <w:t xml:space="preserve"> Specified pool tracking report. This is a PDF report produced by IT. The collateral characteristics for the various cohorts are obtained from the same historical CDU generation process as #2. However, in this case we aggregate projections over multiple replines based on an algorithm as opposed to the single repline approach followed in #2. Another difference is that prepayment forecasts are generated using the C++ version of the prepayment model.</w:t>
      </w:r>
    </w:p>
    <w:p w:rsidR="00000000" w:rsidDel="00000000" w:rsidP="00000000" w:rsidRDefault="00000000" w:rsidRPr="00000000" w14:paraId="0000000C">
      <w:pPr>
        <w:rPr>
          <w:color w:val="222222"/>
          <w:sz w:val="28"/>
          <w:szCs w:val="28"/>
          <w:highlight w:val="white"/>
        </w:rPr>
      </w:pPr>
      <w:r w:rsidDel="00000000" w:rsidR="00000000" w:rsidRPr="00000000">
        <w:rPr>
          <w:rtl w:val="0"/>
        </w:rPr>
      </w:r>
    </w:p>
    <w:p w:rsidR="00000000" w:rsidDel="00000000" w:rsidP="00000000" w:rsidRDefault="00000000" w:rsidRPr="00000000" w14:paraId="0000000D">
      <w:pPr>
        <w:rPr>
          <w:color w:val="222222"/>
          <w:sz w:val="28"/>
          <w:szCs w:val="28"/>
          <w:highlight w:val="white"/>
        </w:rPr>
      </w:pPr>
      <w:r w:rsidDel="00000000" w:rsidR="00000000" w:rsidRPr="00000000">
        <w:rPr>
          <w:color w:val="222222"/>
          <w:sz w:val="28"/>
          <w:szCs w:val="28"/>
          <w:highlight w:val="white"/>
          <w:rtl w:val="0"/>
        </w:rPr>
        <w:t xml:space="preserve">In principle then, given a fixed cohort such as FN30.400.12(GEN), approaches #2 through #4 could give us 3 different results for the same tracking metrics:</w:t>
      </w:r>
    </w:p>
    <w:p w:rsidR="00000000" w:rsidDel="00000000" w:rsidP="00000000" w:rsidRDefault="00000000" w:rsidRPr="00000000" w14:paraId="0000000E">
      <w:pPr>
        <w:rPr>
          <w:color w:val="222222"/>
          <w:sz w:val="28"/>
          <w:szCs w:val="28"/>
          <w:highlight w:val="white"/>
        </w:rPr>
      </w:pPr>
      <w:r w:rsidDel="00000000" w:rsidR="00000000" w:rsidRPr="00000000">
        <w:rPr>
          <w:rtl w:val="0"/>
        </w:rPr>
      </w:r>
    </w:p>
    <w:p w:rsidR="00000000" w:rsidDel="00000000" w:rsidP="00000000" w:rsidRDefault="00000000" w:rsidRPr="00000000" w14:paraId="0000000F">
      <w:pPr>
        <w:numPr>
          <w:ilvl w:val="0"/>
          <w:numId w:val="1"/>
        </w:numPr>
        <w:ind w:left="720" w:hanging="360"/>
        <w:rPr>
          <w:color w:val="222222"/>
          <w:sz w:val="28"/>
          <w:szCs w:val="28"/>
          <w:highlight w:val="white"/>
          <w:u w:val="none"/>
        </w:rPr>
      </w:pPr>
      <w:r w:rsidDel="00000000" w:rsidR="00000000" w:rsidRPr="00000000">
        <w:rPr>
          <w:color w:val="222222"/>
          <w:sz w:val="28"/>
          <w:szCs w:val="28"/>
          <w:highlight w:val="white"/>
          <w:rtl w:val="0"/>
        </w:rPr>
        <w:t xml:space="preserve">Using single replines instead of multiple replines</w:t>
      </w:r>
    </w:p>
    <w:p w:rsidR="00000000" w:rsidDel="00000000" w:rsidP="00000000" w:rsidRDefault="00000000" w:rsidRPr="00000000" w14:paraId="00000010">
      <w:pPr>
        <w:numPr>
          <w:ilvl w:val="0"/>
          <w:numId w:val="1"/>
        </w:numPr>
        <w:ind w:left="720" w:hanging="360"/>
        <w:rPr>
          <w:color w:val="222222"/>
          <w:sz w:val="28"/>
          <w:szCs w:val="28"/>
          <w:highlight w:val="white"/>
          <w:u w:val="none"/>
        </w:rPr>
      </w:pPr>
      <w:r w:rsidDel="00000000" w:rsidR="00000000" w:rsidRPr="00000000">
        <w:rPr>
          <w:color w:val="222222"/>
          <w:sz w:val="28"/>
          <w:szCs w:val="28"/>
          <w:highlight w:val="white"/>
          <w:rtl w:val="0"/>
        </w:rPr>
        <w:t xml:space="preserve">Using pools instead of replines</w:t>
      </w:r>
    </w:p>
    <w:p w:rsidR="00000000" w:rsidDel="00000000" w:rsidP="00000000" w:rsidRDefault="00000000" w:rsidRPr="00000000" w14:paraId="00000011">
      <w:pPr>
        <w:numPr>
          <w:ilvl w:val="0"/>
          <w:numId w:val="1"/>
        </w:numPr>
        <w:ind w:left="720" w:hanging="360"/>
        <w:rPr>
          <w:color w:val="222222"/>
          <w:sz w:val="28"/>
          <w:szCs w:val="28"/>
          <w:highlight w:val="white"/>
          <w:u w:val="none"/>
        </w:rPr>
      </w:pPr>
      <w:r w:rsidDel="00000000" w:rsidR="00000000" w:rsidRPr="00000000">
        <w:rPr>
          <w:color w:val="222222"/>
          <w:sz w:val="28"/>
          <w:szCs w:val="28"/>
          <w:highlight w:val="white"/>
          <w:rtl w:val="0"/>
        </w:rPr>
        <w:t xml:space="preserve">Using C++ instead of R</w:t>
      </w:r>
    </w:p>
    <w:p w:rsidR="00000000" w:rsidDel="00000000" w:rsidP="00000000" w:rsidRDefault="00000000" w:rsidRPr="00000000" w14:paraId="00000012">
      <w:pPr>
        <w:rPr>
          <w:color w:val="222222"/>
          <w:sz w:val="28"/>
          <w:szCs w:val="28"/>
          <w:highlight w:val="white"/>
        </w:rPr>
      </w:pPr>
      <w:r w:rsidDel="00000000" w:rsidR="00000000" w:rsidRPr="00000000">
        <w:rPr>
          <w:rtl w:val="0"/>
        </w:rPr>
      </w:r>
    </w:p>
    <w:p w:rsidR="00000000" w:rsidDel="00000000" w:rsidP="00000000" w:rsidRDefault="00000000" w:rsidRPr="00000000" w14:paraId="00000013">
      <w:pPr>
        <w:rPr>
          <w:b w:val="1"/>
          <w:color w:val="222222"/>
          <w:sz w:val="28"/>
          <w:szCs w:val="28"/>
          <w:highlight w:val="white"/>
        </w:rPr>
      </w:pPr>
      <w:r w:rsidDel="00000000" w:rsidR="00000000" w:rsidRPr="00000000">
        <w:rPr>
          <w:b w:val="1"/>
          <w:color w:val="222222"/>
          <w:sz w:val="28"/>
          <w:szCs w:val="28"/>
          <w:highlight w:val="white"/>
          <w:rtl w:val="0"/>
        </w:rPr>
        <w:t xml:space="preserve">Symphony versus Single-repline Tracking</w:t>
      </w:r>
    </w:p>
    <w:p w:rsidR="00000000" w:rsidDel="00000000" w:rsidP="00000000" w:rsidRDefault="00000000" w:rsidRPr="00000000" w14:paraId="00000014">
      <w:pPr>
        <w:rPr>
          <w:color w:val="222222"/>
          <w:sz w:val="28"/>
          <w:szCs w:val="28"/>
          <w:highlight w:val="white"/>
        </w:rPr>
      </w:pPr>
      <w:r w:rsidDel="00000000" w:rsidR="00000000" w:rsidRPr="00000000">
        <w:rPr>
          <w:color w:val="222222"/>
          <w:sz w:val="28"/>
          <w:szCs w:val="28"/>
          <w:highlight w:val="white"/>
          <w:rtl w:val="0"/>
        </w:rPr>
        <w:t xml:space="preserve">Symphony tracking is biased to be somewhat faster (in prepayment space) than single repline tracking in certain situations. The reasoning is as follows.</w:t>
      </w:r>
    </w:p>
    <w:p w:rsidR="00000000" w:rsidDel="00000000" w:rsidP="00000000" w:rsidRDefault="00000000" w:rsidRPr="00000000" w14:paraId="00000015">
      <w:pPr>
        <w:rPr>
          <w:color w:val="222222"/>
          <w:sz w:val="28"/>
          <w:szCs w:val="28"/>
          <w:highlight w:val="white"/>
        </w:rPr>
      </w:pPr>
      <w:r w:rsidDel="00000000" w:rsidR="00000000" w:rsidRPr="00000000">
        <w:rPr>
          <w:rtl w:val="0"/>
        </w:rPr>
      </w:r>
    </w:p>
    <w:p w:rsidR="00000000" w:rsidDel="00000000" w:rsidP="00000000" w:rsidRDefault="00000000" w:rsidRPr="00000000" w14:paraId="00000016">
      <w:pPr>
        <w:rPr>
          <w:color w:val="222222"/>
          <w:sz w:val="28"/>
          <w:szCs w:val="28"/>
          <w:highlight w:val="white"/>
        </w:rPr>
      </w:pPr>
      <w:r w:rsidDel="00000000" w:rsidR="00000000" w:rsidRPr="00000000">
        <w:rPr>
          <w:color w:val="222222"/>
          <w:sz w:val="28"/>
          <w:szCs w:val="28"/>
          <w:highlight w:val="white"/>
          <w:rtl w:val="0"/>
        </w:rPr>
        <w:t xml:space="preserve">Symphony tracking for cohorts is constructed by weighted-averaging the model versus actual numbers for all the underlying pools. If the prepayment function were linear (it is not, but more on this issue below), this would be equivalent to projecting prepayments on a giant pool with collateral characteristics and other prepayment model indicatives that were weighted-averages of the pool-level indicatives.</w:t>
      </w:r>
    </w:p>
    <w:p w:rsidR="00000000" w:rsidDel="00000000" w:rsidP="00000000" w:rsidRDefault="00000000" w:rsidRPr="00000000" w14:paraId="00000017">
      <w:pPr>
        <w:rPr>
          <w:color w:val="222222"/>
          <w:sz w:val="28"/>
          <w:szCs w:val="28"/>
          <w:highlight w:val="white"/>
        </w:rPr>
      </w:pPr>
      <w:r w:rsidDel="00000000" w:rsidR="00000000" w:rsidRPr="00000000">
        <w:rPr>
          <w:rtl w:val="0"/>
        </w:rPr>
      </w:r>
    </w:p>
    <w:p w:rsidR="00000000" w:rsidDel="00000000" w:rsidP="00000000" w:rsidRDefault="00000000" w:rsidRPr="00000000" w14:paraId="00000018">
      <w:pPr>
        <w:rPr>
          <w:color w:val="222222"/>
          <w:sz w:val="28"/>
          <w:szCs w:val="28"/>
          <w:highlight w:val="white"/>
        </w:rPr>
      </w:pPr>
      <w:r w:rsidDel="00000000" w:rsidR="00000000" w:rsidRPr="00000000">
        <w:rPr>
          <w:color w:val="222222"/>
          <w:sz w:val="28"/>
          <w:szCs w:val="28"/>
          <w:highlight w:val="white"/>
          <w:rtl w:val="0"/>
        </w:rPr>
        <w:t xml:space="preserve">On the other hand, many of the collateral characteristics for the single repline can be viewed as weighted-averages of the pool-level indicatives (pct_refi, pct_HARP, WALA, CLTV, FICO etc). The greatest source of differences is probably the LLPA calculations (since the LLPA grid is discontinuous, averaging can give very different results) and the Loan size calculation. The loan size calculation for single replines consists of averaging all the pool balances together and then dividing by the number of loans. This calculation will give loan sizes that are consistently lower than those obtained through weighted-averaging.</w:t>
      </w:r>
    </w:p>
    <w:p w:rsidR="00000000" w:rsidDel="00000000" w:rsidP="00000000" w:rsidRDefault="00000000" w:rsidRPr="00000000" w14:paraId="00000019">
      <w:pPr>
        <w:rPr>
          <w:color w:val="222222"/>
          <w:sz w:val="28"/>
          <w:szCs w:val="28"/>
          <w:highlight w:val="white"/>
        </w:rPr>
      </w:pPr>
      <w:r w:rsidDel="00000000" w:rsidR="00000000" w:rsidRPr="00000000">
        <w:rPr>
          <w:rtl w:val="0"/>
        </w:rPr>
      </w:r>
    </w:p>
    <w:p w:rsidR="00000000" w:rsidDel="00000000" w:rsidP="00000000" w:rsidRDefault="00000000" w:rsidRPr="00000000" w14:paraId="0000001A">
      <w:pPr>
        <w:rPr>
          <w:color w:val="222222"/>
          <w:sz w:val="28"/>
          <w:szCs w:val="28"/>
          <w:highlight w:val="white"/>
        </w:rPr>
      </w:pPr>
      <w:r w:rsidDel="00000000" w:rsidR="00000000" w:rsidRPr="00000000">
        <w:rPr>
          <w:color w:val="222222"/>
          <w:sz w:val="28"/>
          <w:szCs w:val="28"/>
          <w:highlight w:val="white"/>
          <w:rtl w:val="0"/>
        </w:rPr>
        <w:t xml:space="preserve">The upshot is that even if the prepayment function were to be completely linear, the two tracking results would not be identical because of the above considerations. Assuming the LLPA numbers don’t suffer from averaging effects, the single repline forecast is biased higher for refinancings because it assumes a larger loan size. At least locally, the prepayment function can be reasonably well-approximated by a linear function so the same result still holds if there's not too much dispersion in the pool-level attributes versus the single repline.</w:t>
      </w:r>
    </w:p>
    <w:p w:rsidR="00000000" w:rsidDel="00000000" w:rsidP="00000000" w:rsidRDefault="00000000" w:rsidRPr="00000000" w14:paraId="0000001B">
      <w:pPr>
        <w:rPr>
          <w:color w:val="222222"/>
          <w:sz w:val="28"/>
          <w:szCs w:val="28"/>
          <w:highlight w:val="white"/>
        </w:rPr>
      </w:pPr>
      <w:r w:rsidDel="00000000" w:rsidR="00000000" w:rsidRPr="00000000">
        <w:rPr>
          <w:rtl w:val="0"/>
        </w:rPr>
      </w:r>
    </w:p>
    <w:p w:rsidR="00000000" w:rsidDel="00000000" w:rsidP="00000000" w:rsidRDefault="00000000" w:rsidRPr="00000000" w14:paraId="0000001C">
      <w:pPr>
        <w:rPr>
          <w:color w:val="222222"/>
          <w:sz w:val="28"/>
          <w:szCs w:val="28"/>
          <w:highlight w:val="white"/>
        </w:rPr>
      </w:pPr>
      <w:r w:rsidDel="00000000" w:rsidR="00000000" w:rsidRPr="00000000">
        <w:rPr>
          <w:color w:val="222222"/>
          <w:sz w:val="28"/>
          <w:szCs w:val="28"/>
          <w:highlight w:val="white"/>
          <w:rtl w:val="0"/>
        </w:rPr>
        <w:t xml:space="preserve">One would conjecture that in high media effect environments where pools are sufficiently in the money and the LLPA dispersion is less of an issue, the loan size bias would manifest itself more.</w:t>
      </w:r>
    </w:p>
    <w:p w:rsidR="00000000" w:rsidDel="00000000" w:rsidP="00000000" w:rsidRDefault="00000000" w:rsidRPr="00000000" w14:paraId="0000001D">
      <w:pPr>
        <w:rPr>
          <w:color w:val="222222"/>
          <w:sz w:val="28"/>
          <w:szCs w:val="28"/>
          <w:highlight w:val="white"/>
        </w:rPr>
      </w:pPr>
      <w:r w:rsidDel="00000000" w:rsidR="00000000" w:rsidRPr="00000000">
        <w:rPr>
          <w:rtl w:val="0"/>
        </w:rPr>
      </w:r>
    </w:p>
    <w:p w:rsidR="00000000" w:rsidDel="00000000" w:rsidP="00000000" w:rsidRDefault="00000000" w:rsidRPr="00000000" w14:paraId="0000001E">
      <w:pPr>
        <w:rPr>
          <w:color w:val="222222"/>
          <w:sz w:val="28"/>
          <w:szCs w:val="28"/>
          <w:highlight w:val="white"/>
        </w:rPr>
      </w:pPr>
      <w:r w:rsidDel="00000000" w:rsidR="00000000" w:rsidRPr="00000000">
        <w:rPr>
          <w:color w:val="222222"/>
          <w:sz w:val="28"/>
          <w:szCs w:val="28"/>
          <w:highlight w:val="white"/>
          <w:rtl w:val="0"/>
        </w:rPr>
        <w:t xml:space="preserve">Having said all of this, in the single example we were looking at (FN30.400.12(GEN)), the loan size difference was roughly in the $500-$3000 ballpark and I don't believe it fully explains the differences we're seeing. Perhaps the non-linearity of the prepayment function exacerbates the differences we see but there’s no rigorous proof for this yet.</w:t>
      </w:r>
    </w:p>
    <w:p w:rsidR="00000000" w:rsidDel="00000000" w:rsidP="00000000" w:rsidRDefault="00000000" w:rsidRPr="00000000" w14:paraId="0000001F">
      <w:pPr>
        <w:rPr>
          <w:color w:val="222222"/>
          <w:sz w:val="28"/>
          <w:szCs w:val="28"/>
          <w:highlight w:val="white"/>
        </w:rPr>
      </w:pPr>
      <w:r w:rsidDel="00000000" w:rsidR="00000000" w:rsidRPr="00000000">
        <w:rPr>
          <w:rtl w:val="0"/>
        </w:rPr>
      </w:r>
    </w:p>
    <w:p w:rsidR="00000000" w:rsidDel="00000000" w:rsidP="00000000" w:rsidRDefault="00000000" w:rsidRPr="00000000" w14:paraId="00000020">
      <w:pPr>
        <w:rPr>
          <w:b w:val="1"/>
          <w:color w:val="222222"/>
          <w:sz w:val="28"/>
          <w:szCs w:val="28"/>
          <w:highlight w:val="white"/>
        </w:rPr>
      </w:pPr>
      <w:r w:rsidDel="00000000" w:rsidR="00000000" w:rsidRPr="00000000">
        <w:rPr>
          <w:b w:val="1"/>
          <w:color w:val="222222"/>
          <w:sz w:val="28"/>
          <w:szCs w:val="28"/>
          <w:highlight w:val="white"/>
          <w:rtl w:val="0"/>
        </w:rPr>
        <w:t xml:space="preserve">Ginnie Mae Tracking</w:t>
      </w:r>
    </w:p>
    <w:p w:rsidR="00000000" w:rsidDel="00000000" w:rsidP="00000000" w:rsidRDefault="00000000" w:rsidRPr="00000000" w14:paraId="00000021">
      <w:pPr>
        <w:rPr>
          <w:color w:val="222222"/>
          <w:sz w:val="28"/>
          <w:szCs w:val="28"/>
          <w:highlight w:val="white"/>
        </w:rPr>
      </w:pPr>
      <w:r w:rsidDel="00000000" w:rsidR="00000000" w:rsidRPr="00000000">
        <w:rPr>
          <w:color w:val="222222"/>
          <w:sz w:val="28"/>
          <w:szCs w:val="28"/>
          <w:highlight w:val="white"/>
          <w:rtl w:val="0"/>
        </w:rPr>
        <w:t xml:space="preserve">Since the structure of the new Ginnie Mae model requires top-level replines organized by loan program (FHA, VA, RHS, PIH), we need to rethink how we do prepayment tracking for items #3 and #4 above. </w:t>
      </w:r>
    </w:p>
    <w:p w:rsidR="00000000" w:rsidDel="00000000" w:rsidP="00000000" w:rsidRDefault="00000000" w:rsidRPr="00000000" w14:paraId="00000022">
      <w:pPr>
        <w:rPr>
          <w:color w:val="222222"/>
          <w:sz w:val="28"/>
          <w:szCs w:val="28"/>
          <w:highlight w:val="white"/>
        </w:rPr>
      </w:pPr>
      <w:r w:rsidDel="00000000" w:rsidR="00000000" w:rsidRPr="00000000">
        <w:rPr>
          <w:rtl w:val="0"/>
        </w:rPr>
      </w:r>
    </w:p>
    <w:p w:rsidR="00000000" w:rsidDel="00000000" w:rsidP="00000000" w:rsidRDefault="00000000" w:rsidRPr="00000000" w14:paraId="00000023">
      <w:pPr>
        <w:rPr>
          <w:color w:val="222222"/>
          <w:sz w:val="28"/>
          <w:szCs w:val="28"/>
          <w:highlight w:val="white"/>
        </w:rPr>
      </w:pPr>
      <w:r w:rsidDel="00000000" w:rsidR="00000000" w:rsidRPr="00000000">
        <w:rPr>
          <w:color w:val="222222"/>
          <w:sz w:val="28"/>
          <w:szCs w:val="28"/>
          <w:highlight w:val="white"/>
          <w:rtl w:val="0"/>
        </w:rPr>
        <w:t xml:space="preserve">1. Symphony tracking: </w:t>
      </w:r>
    </w:p>
    <w:p w:rsidR="00000000" w:rsidDel="00000000" w:rsidP="00000000" w:rsidRDefault="00000000" w:rsidRPr="00000000" w14:paraId="00000024">
      <w:pPr>
        <w:rPr>
          <w:color w:val="222222"/>
          <w:sz w:val="28"/>
          <w:szCs w:val="28"/>
          <w:highlight w:val="white"/>
          <w:u w:val="single"/>
        </w:rPr>
      </w:pPr>
      <w:r w:rsidDel="00000000" w:rsidR="00000000" w:rsidRPr="00000000">
        <w:rPr>
          <w:color w:val="222222"/>
          <w:sz w:val="28"/>
          <w:szCs w:val="28"/>
          <w:highlight w:val="white"/>
          <w:u w:val="single"/>
          <w:rtl w:val="0"/>
        </w:rPr>
        <w:t xml:space="preserve">Suggested Ginnie Mae approach</w:t>
      </w:r>
    </w:p>
    <w:p w:rsidR="00000000" w:rsidDel="00000000" w:rsidP="00000000" w:rsidRDefault="00000000" w:rsidRPr="00000000" w14:paraId="00000025">
      <w:pPr>
        <w:rPr>
          <w:color w:val="222222"/>
          <w:sz w:val="28"/>
          <w:szCs w:val="28"/>
          <w:highlight w:val="white"/>
        </w:rPr>
      </w:pPr>
      <w:r w:rsidDel="00000000" w:rsidR="00000000" w:rsidRPr="00000000">
        <w:rPr>
          <w:color w:val="222222"/>
          <w:sz w:val="28"/>
          <w:szCs w:val="28"/>
          <w:highlight w:val="white"/>
          <w:rtl w:val="0"/>
        </w:rPr>
        <w:t xml:space="preserve">For Ginnie Mae MBS, every month Research will need to create a file that contains predicted prepayments for the universe of Ginnie Mae </w:t>
      </w:r>
      <w:r w:rsidDel="00000000" w:rsidR="00000000" w:rsidRPr="00000000">
        <w:rPr>
          <w:color w:val="222222"/>
          <w:sz w:val="28"/>
          <w:szCs w:val="28"/>
          <w:highlight w:val="white"/>
          <w:u w:val="single"/>
          <w:rtl w:val="0"/>
        </w:rPr>
        <w:t xml:space="preserve">loans</w:t>
      </w:r>
      <w:r w:rsidDel="00000000" w:rsidR="00000000" w:rsidRPr="00000000">
        <w:rPr>
          <w:color w:val="222222"/>
          <w:sz w:val="28"/>
          <w:szCs w:val="28"/>
          <w:highlight w:val="white"/>
          <w:rtl w:val="0"/>
        </w:rPr>
        <w:t xml:space="preserve">. Symphony tracking on cohorts or replines will rely on aggregating loan-level actual and predicted prepayments on a month-by-month basis.</w:t>
      </w:r>
    </w:p>
    <w:p w:rsidR="00000000" w:rsidDel="00000000" w:rsidP="00000000" w:rsidRDefault="00000000" w:rsidRPr="00000000" w14:paraId="00000026">
      <w:pPr>
        <w:rPr>
          <w:color w:val="222222"/>
          <w:sz w:val="28"/>
          <w:szCs w:val="28"/>
          <w:highlight w:val="white"/>
        </w:rPr>
      </w:pPr>
      <w:r w:rsidDel="00000000" w:rsidR="00000000" w:rsidRPr="00000000">
        <w:rPr>
          <w:rtl w:val="0"/>
        </w:rPr>
      </w:r>
    </w:p>
    <w:p w:rsidR="00000000" w:rsidDel="00000000" w:rsidP="00000000" w:rsidRDefault="00000000" w:rsidRPr="00000000" w14:paraId="00000027">
      <w:pPr>
        <w:rPr>
          <w:color w:val="222222"/>
          <w:sz w:val="28"/>
          <w:szCs w:val="28"/>
          <w:highlight w:val="white"/>
        </w:rPr>
      </w:pPr>
      <w:r w:rsidDel="00000000" w:rsidR="00000000" w:rsidRPr="00000000">
        <w:rPr>
          <w:color w:val="222222"/>
          <w:sz w:val="28"/>
          <w:szCs w:val="28"/>
          <w:highlight w:val="white"/>
          <w:rtl w:val="0"/>
        </w:rPr>
        <w:t xml:space="preserve">2. Specified pool tracking report.</w:t>
      </w:r>
    </w:p>
    <w:p w:rsidR="00000000" w:rsidDel="00000000" w:rsidP="00000000" w:rsidRDefault="00000000" w:rsidRPr="00000000" w14:paraId="00000028">
      <w:pPr>
        <w:rPr>
          <w:color w:val="222222"/>
          <w:sz w:val="28"/>
          <w:szCs w:val="28"/>
          <w:highlight w:val="white"/>
          <w:u w:val="single"/>
        </w:rPr>
      </w:pPr>
      <w:r w:rsidDel="00000000" w:rsidR="00000000" w:rsidRPr="00000000">
        <w:rPr>
          <w:color w:val="222222"/>
          <w:sz w:val="28"/>
          <w:szCs w:val="28"/>
          <w:highlight w:val="white"/>
          <w:u w:val="single"/>
          <w:rtl w:val="0"/>
        </w:rPr>
        <w:t xml:space="preserve">Suggested Ginnie Mae approach</w:t>
      </w:r>
    </w:p>
    <w:p w:rsidR="00000000" w:rsidDel="00000000" w:rsidP="00000000" w:rsidRDefault="00000000" w:rsidRPr="00000000" w14:paraId="00000029">
      <w:pPr>
        <w:rPr>
          <w:color w:val="222222"/>
          <w:sz w:val="28"/>
          <w:szCs w:val="28"/>
          <w:highlight w:val="white"/>
        </w:rPr>
      </w:pPr>
      <w:r w:rsidDel="00000000" w:rsidR="00000000" w:rsidRPr="00000000">
        <w:rPr>
          <w:color w:val="222222"/>
          <w:sz w:val="28"/>
          <w:szCs w:val="28"/>
          <w:highlight w:val="white"/>
          <w:rtl w:val="0"/>
        </w:rPr>
        <w:t xml:space="preserve">As long as the CDU generation process produces top-level replines organized by GNMA loan program everything should work as before. In principle, each ticker could be further broken up into 4 separate sub-tickers by loan program -- for example, GN30.350.16(GEN) could then be further subdivided into GN30.350.16.FHA(GEN), GN30.350.16.VA(GEN), GN30.350.16.RHS(GEN), and GN30.350.16.PIH(GEN). </w:t>
      </w:r>
    </w:p>
    <w:p w:rsidR="00000000" w:rsidDel="00000000" w:rsidP="00000000" w:rsidRDefault="00000000" w:rsidRPr="00000000" w14:paraId="0000002A">
      <w:pPr>
        <w:rPr>
          <w:color w:val="222222"/>
          <w:sz w:val="28"/>
          <w:szCs w:val="28"/>
          <w:highlight w:val="white"/>
        </w:rPr>
      </w:pPr>
      <w:r w:rsidDel="00000000" w:rsidR="00000000" w:rsidRPr="00000000">
        <w:rPr>
          <w:rtl w:val="0"/>
        </w:rPr>
      </w:r>
    </w:p>
    <w:p w:rsidR="00000000" w:rsidDel="00000000" w:rsidP="00000000" w:rsidRDefault="00000000" w:rsidRPr="00000000" w14:paraId="0000002B">
      <w:pPr>
        <w:rPr>
          <w:color w:val="222222"/>
          <w:sz w:val="28"/>
          <w:szCs w:val="28"/>
          <w:highlight w:val="white"/>
        </w:rPr>
      </w:pPr>
      <w:r w:rsidDel="00000000" w:rsidR="00000000" w:rsidRPr="00000000">
        <w:rPr>
          <w:color w:val="222222"/>
          <w:sz w:val="28"/>
          <w:szCs w:val="28"/>
          <w:highlight w:val="white"/>
          <w:rtl w:val="0"/>
        </w:rPr>
        <w:t xml:space="preserve">For now, the PM team only wants the breakout by loan program for the generic tickers and for MJMs. For example, we do not need to breakout loan balances by loan program.</w:t>
      </w:r>
    </w:p>
    <w:p w:rsidR="00000000" w:rsidDel="00000000" w:rsidP="00000000" w:rsidRDefault="00000000" w:rsidRPr="00000000" w14:paraId="0000002C">
      <w:pPr>
        <w:rPr>
          <w:color w:val="222222"/>
          <w:sz w:val="28"/>
          <w:szCs w:val="28"/>
          <w:highlight w:val="white"/>
        </w:rPr>
      </w:pPr>
      <w:r w:rsidDel="00000000" w:rsidR="00000000" w:rsidRPr="00000000">
        <w:rPr>
          <w:rtl w:val="0"/>
        </w:rPr>
      </w:r>
    </w:p>
    <w:p w:rsidR="00000000" w:rsidDel="00000000" w:rsidP="00000000" w:rsidRDefault="00000000" w:rsidRPr="00000000" w14:paraId="0000002D">
      <w:pPr>
        <w:rPr>
          <w:color w:val="222222"/>
          <w:sz w:val="28"/>
          <w:szCs w:val="28"/>
          <w:highlight w:val="white"/>
          <w:u w:val="single"/>
        </w:rPr>
      </w:pPr>
      <w:r w:rsidDel="00000000" w:rsidR="00000000" w:rsidRPr="00000000">
        <w:rPr>
          <w:color w:val="222222"/>
          <w:sz w:val="28"/>
          <w:szCs w:val="28"/>
          <w:highlight w:val="white"/>
          <w:u w:val="single"/>
          <w:rtl w:val="0"/>
        </w:rPr>
        <w:t xml:space="preserve">Historical Tracking Prior to 2014</w:t>
      </w:r>
    </w:p>
    <w:p w:rsidR="00000000" w:rsidDel="00000000" w:rsidP="00000000" w:rsidRDefault="00000000" w:rsidRPr="00000000" w14:paraId="0000002E">
      <w:pPr>
        <w:rPr>
          <w:color w:val="222222"/>
          <w:sz w:val="28"/>
          <w:szCs w:val="28"/>
          <w:highlight w:val="white"/>
        </w:rPr>
      </w:pPr>
      <w:r w:rsidDel="00000000" w:rsidR="00000000" w:rsidRPr="00000000">
        <w:rPr>
          <w:color w:val="222222"/>
          <w:sz w:val="28"/>
          <w:szCs w:val="28"/>
          <w:highlight w:val="white"/>
          <w:rtl w:val="0"/>
        </w:rPr>
        <w:t xml:space="preserve">As long as we rely on loan-level tracking, we can only rely on tracking history going back to 2014. For tracking that goes further back in history, one approach would be to break each pool into 4 replines by loan program, track on those replines, and then aggregate back up to come up with a predicted pool-level CPR. We may have to resort to this approach to get Ginnie Mae fits that are more robust from a historical perspective.</w:t>
      </w:r>
    </w:p>
    <w:p w:rsidR="00000000" w:rsidDel="00000000" w:rsidP="00000000" w:rsidRDefault="00000000" w:rsidRPr="00000000" w14:paraId="0000002F">
      <w:pPr>
        <w:rPr>
          <w:color w:val="222222"/>
          <w:sz w:val="19"/>
          <w:szCs w:val="19"/>
          <w:highlight w:val="white"/>
        </w:rPr>
      </w:pPr>
      <w:r w:rsidDel="00000000" w:rsidR="00000000" w:rsidRPr="00000000">
        <w:rPr>
          <w:rtl w:val="0"/>
        </w:rPr>
      </w:r>
    </w:p>
    <w:p w:rsidR="00000000" w:rsidDel="00000000" w:rsidP="00000000" w:rsidRDefault="00000000" w:rsidRPr="00000000" w14:paraId="00000030">
      <w:pPr>
        <w:rPr>
          <w:color w:val="222222"/>
          <w:sz w:val="28"/>
          <w:szCs w:val="28"/>
          <w:highlight w:val="white"/>
        </w:rPr>
      </w:pPr>
      <w:r w:rsidDel="00000000" w:rsidR="00000000" w:rsidRPr="00000000">
        <w:rPr>
          <w:rtl w:val="0"/>
        </w:rPr>
      </w:r>
    </w:p>
    <w:p w:rsidR="00000000" w:rsidDel="00000000" w:rsidP="00000000" w:rsidRDefault="00000000" w:rsidRPr="00000000" w14:paraId="00000031">
      <w:pPr>
        <w:rPr>
          <w:color w:val="222222"/>
          <w:sz w:val="28"/>
          <w:szCs w:val="28"/>
          <w:highlight w:val="white"/>
        </w:rPr>
      </w:pPr>
      <w:r w:rsidDel="00000000" w:rsidR="00000000" w:rsidRPr="00000000">
        <w:rPr>
          <w:rtl w:val="0"/>
        </w:rPr>
      </w:r>
    </w:p>
    <w:p w:rsidR="00000000" w:rsidDel="00000000" w:rsidP="00000000" w:rsidRDefault="00000000" w:rsidRPr="00000000" w14:paraId="00000032">
      <w:pPr>
        <w:rPr>
          <w:color w:val="222222"/>
          <w:sz w:val="28"/>
          <w:szCs w:val="28"/>
          <w:highlight w:val="whit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19"/>
        <w:szCs w:val="19"/>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