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MBS fit into the U.S. Fixed Income Market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of the Agency MBS Market: MBS -&gt; CMOs -&gt; Derivatives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Issuance of Agency CMOs -- compare to Non-Agency CMOs?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Evolution of the Agency CMO Market: The Growth of Prepayment Stories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Block to understanding CMOs -- the Simplest MBS Cash Flow -- the Pass-through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an Agency CMO? A redistribution of principal and interest cash flows on mortgage pools to create new securities with risk/return characteristics that are different from where we started. </w:t>
      </w: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Use tap and sink graph?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techniques for creating Agency CMOs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 of Agency CMOs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Inverse IO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Investing in Agency CMOs: Risk Exposures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in the Agency CMO Market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of the Agency CMO Market: OTC 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