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April 28th, 2017 Release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8"/>
          <w:szCs w:val="28"/>
        </w:rPr>
      </w:pPr>
      <w:r w:rsidDel="00000000" w:rsidR="00000000" w:rsidRPr="00000000">
        <w:rPr>
          <w:sz w:val="28"/>
          <w:szCs w:val="28"/>
          <w:rtl w:val="0"/>
        </w:rPr>
        <w:t xml:space="preserve">A historical GNMA</w:t>
      </w:r>
      <w:r w:rsidDel="00000000" w:rsidR="00000000" w:rsidRPr="00000000">
        <w:rPr>
          <w:sz w:val="28"/>
          <w:szCs w:val="28"/>
          <w:vertAlign w:val="superscript"/>
        </w:rPr>
        <w:footnoteReference w:customMarkFollows="0" w:id="0"/>
      </w:r>
      <w:r w:rsidDel="00000000" w:rsidR="00000000" w:rsidRPr="00000000">
        <w:rPr>
          <w:sz w:val="28"/>
          <w:szCs w:val="28"/>
          <w:rtl w:val="0"/>
        </w:rPr>
        <w:t xml:space="preserve"> mortgage rate was generated at a monthly frequency dating back to 1990. In addition, the GNMA mortgage rate on forward paths is simulated as the PMMS plus a WAC spread. The WAC spread is derived from looking at the difference between the WACs on contemporaneous GNMA and FNMA MBS issuance. See: </w:t>
      </w:r>
      <w:hyperlink r:id="rId7">
        <w:r w:rsidDel="00000000" w:rsidR="00000000" w:rsidRPr="00000000">
          <w:rPr>
            <w:color w:val="1155cc"/>
            <w:sz w:val="28"/>
            <w:szCs w:val="28"/>
            <w:u w:val="single"/>
            <w:rtl w:val="0"/>
          </w:rPr>
          <w:t xml:space="preserve">https://drive.google.com/drive/folders/0B4Dkdqf5GPRaT3R4NVpxLWV3RFU</w:t>
        </w:r>
      </w:hyperlink>
      <w:r w:rsidDel="00000000" w:rsidR="00000000" w:rsidRPr="00000000">
        <w:rPr>
          <w:sz w:val="28"/>
          <w:szCs w:val="28"/>
          <w:rtl w:val="0"/>
        </w:rPr>
        <w:t xml:space="preserve">. The forward rate projection of GNMA mortgage rates has been integrated into </w:t>
      </w:r>
      <w:r w:rsidDel="00000000" w:rsidR="00000000" w:rsidRPr="00000000">
        <w:rPr>
          <w:rFonts w:ascii="Courier" w:cs="Courier" w:eastAsia="Courier" w:hAnsi="Courier"/>
          <w:sz w:val="28"/>
          <w:szCs w:val="28"/>
          <w:rtl w:val="0"/>
        </w:rPr>
        <w:t xml:space="preserve">Scale</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04">
      <w:pPr>
        <w:numPr>
          <w:ilvl w:val="0"/>
          <w:numId w:val="1"/>
        </w:numPr>
        <w:ind w:left="720" w:hanging="360"/>
        <w:rPr>
          <w:sz w:val="28"/>
          <w:szCs w:val="28"/>
        </w:rPr>
      </w:pPr>
      <w:r w:rsidDel="00000000" w:rsidR="00000000" w:rsidRPr="00000000">
        <w:rPr>
          <w:sz w:val="28"/>
          <w:szCs w:val="28"/>
          <w:rtl w:val="0"/>
        </w:rPr>
        <w:t xml:space="preserve">A historical Jumbo Conforming mortgage rate was generated at a monthly frequency dating back to 2008. In addition, the Jumbo Conforming mortgage rate on forward paths is simulated as the PMMS plus a Rate spread. The Rate spread is derived from looking at the difference between mortgage rates on contemporaneous conforming and jumbo conforming issuance. See: </w:t>
      </w:r>
      <w:hyperlink r:id="rId8">
        <w:r w:rsidDel="00000000" w:rsidR="00000000" w:rsidRPr="00000000">
          <w:rPr>
            <w:color w:val="1155cc"/>
            <w:sz w:val="28"/>
            <w:szCs w:val="28"/>
            <w:u w:val="single"/>
            <w:rtl w:val="0"/>
          </w:rPr>
          <w:t xml:space="preserve">https://drive.google.com/drive/folders/0B4Dkdqf5GPRaT3R4NVpxLWV3RFU</w:t>
        </w:r>
      </w:hyperlink>
      <w:r w:rsidDel="00000000" w:rsidR="00000000" w:rsidRPr="00000000">
        <w:rPr>
          <w:sz w:val="28"/>
          <w:szCs w:val="28"/>
          <w:rtl w:val="0"/>
        </w:rPr>
        <w:t xml:space="preserve">. The forward rate projection of Jumbo Conforming mortgage rates has been integrated into </w:t>
      </w:r>
      <w:r w:rsidDel="00000000" w:rsidR="00000000" w:rsidRPr="00000000">
        <w:rPr>
          <w:rFonts w:ascii="Courier New" w:cs="Courier New" w:eastAsia="Courier New" w:hAnsi="Courier New"/>
          <w:sz w:val="28"/>
          <w:szCs w:val="28"/>
          <w:rtl w:val="0"/>
        </w:rPr>
        <w:t xml:space="preserve">Scale</w:t>
      </w:r>
      <w:r w:rsidDel="00000000" w:rsidR="00000000" w:rsidRPr="00000000">
        <w:rPr>
          <w:sz w:val="28"/>
          <w:szCs w:val="28"/>
          <w:rtl w:val="0"/>
        </w:rPr>
        <w:t xml:space="preserve">.</w:t>
      </w:r>
    </w:p>
    <w:p w:rsidR="00000000" w:rsidDel="00000000" w:rsidP="00000000" w:rsidRDefault="00000000" w:rsidRPr="00000000" w14:paraId="00000005">
      <w:pPr>
        <w:numPr>
          <w:ilvl w:val="0"/>
          <w:numId w:val="1"/>
        </w:numPr>
        <w:ind w:left="720" w:hanging="360"/>
        <w:rPr>
          <w:sz w:val="28"/>
          <w:szCs w:val="28"/>
          <w:u w:val="none"/>
        </w:rPr>
      </w:pPr>
      <w:r w:rsidDel="00000000" w:rsidR="00000000" w:rsidRPr="00000000">
        <w:rPr>
          <w:sz w:val="28"/>
          <w:szCs w:val="28"/>
          <w:rtl w:val="0"/>
        </w:rPr>
        <w:t xml:space="preserve">The Curtailment + Full Payoff model for FNMA and GNMAs has been simplified:</w:t>
      </w:r>
    </w:p>
    <w:p w:rsidR="00000000" w:rsidDel="00000000" w:rsidP="00000000" w:rsidRDefault="00000000" w:rsidRPr="00000000" w14:paraId="00000006">
      <w:pPr>
        <w:numPr>
          <w:ilvl w:val="1"/>
          <w:numId w:val="1"/>
        </w:numPr>
        <w:ind w:left="1440" w:hanging="360"/>
        <w:rPr>
          <w:sz w:val="28"/>
          <w:szCs w:val="28"/>
          <w:u w:val="none"/>
        </w:rPr>
      </w:pPr>
      <w:r w:rsidDel="00000000" w:rsidR="00000000" w:rsidRPr="00000000">
        <w:rPr>
          <w:sz w:val="28"/>
          <w:szCs w:val="28"/>
          <w:rtl w:val="0"/>
        </w:rPr>
        <w:t xml:space="preserve">It only depends on WALA now (decaying dependence on FICO and CLTV have been removed)</w:t>
      </w:r>
    </w:p>
    <w:p w:rsidR="00000000" w:rsidDel="00000000" w:rsidP="00000000" w:rsidRDefault="00000000" w:rsidRPr="00000000" w14:paraId="00000007">
      <w:pPr>
        <w:numPr>
          <w:ilvl w:val="1"/>
          <w:numId w:val="1"/>
        </w:numPr>
        <w:ind w:left="1440" w:hanging="360"/>
        <w:rPr>
          <w:sz w:val="28"/>
          <w:szCs w:val="28"/>
          <w:u w:val="none"/>
        </w:rPr>
      </w:pPr>
      <w:r w:rsidDel="00000000" w:rsidR="00000000" w:rsidRPr="00000000">
        <w:rPr>
          <w:sz w:val="28"/>
          <w:szCs w:val="28"/>
          <w:rtl w:val="0"/>
        </w:rPr>
        <w:t xml:space="preserve">GNMAs and FNMAs have the same Curtailment + Full Payoff model now. It is not easy to infer curtailment rates from GNMA pools and full payoff data are very spotty since they occur right towards the end of the mortgage term. Consequently, it was thought easier to have the same model for GNMAs and FNMAs as it should have a very minor impact on prepayment forecasts and there’s one less thing to remember in terms of differences between the two models.</w:t>
      </w:r>
    </w:p>
    <w:p w:rsidR="00000000" w:rsidDel="00000000" w:rsidP="00000000" w:rsidRDefault="00000000" w:rsidRPr="00000000" w14:paraId="00000008">
      <w:pPr>
        <w:numPr>
          <w:ilvl w:val="0"/>
          <w:numId w:val="1"/>
        </w:numPr>
        <w:ind w:left="720" w:hanging="360"/>
        <w:rPr>
          <w:sz w:val="28"/>
          <w:szCs w:val="28"/>
          <w:u w:val="none"/>
        </w:rPr>
      </w:pPr>
      <w:r w:rsidDel="00000000" w:rsidR="00000000" w:rsidRPr="00000000">
        <w:rPr>
          <w:sz w:val="28"/>
          <w:szCs w:val="28"/>
          <w:rtl w:val="0"/>
        </w:rPr>
        <w:t xml:space="preserve">Updated splines for Conventional Default Model: The default model fitting infrastructure was overhauled to fit into the current approach. As a byproduct, spline curves were refit and updated. The most significant change is that the default model now also incorporates dependence on the Credit Availability Index. Some potential improvements in how we estimate empirical delinquency and default rates for pools were also discovered in the fitting process. See: </w:t>
      </w:r>
      <w:hyperlink r:id="rId9">
        <w:r w:rsidDel="00000000" w:rsidR="00000000" w:rsidRPr="00000000">
          <w:rPr>
            <w:color w:val="1155cc"/>
            <w:sz w:val="28"/>
            <w:szCs w:val="28"/>
            <w:u w:val="single"/>
            <w:rtl w:val="0"/>
          </w:rPr>
          <w:t xml:space="preserve">https://docs.google.com/document/d/1ZyOYmGjK79ODeEa4UG3sqVf_yc9L2Se8V_xr_syAoiA/edit </w:t>
        </w:r>
      </w:hyperlink>
      <w:r w:rsidDel="00000000" w:rsidR="00000000" w:rsidRPr="00000000">
        <w:rPr>
          <w:rtl w:val="0"/>
        </w:rPr>
      </w:r>
    </w:p>
    <w:p w:rsidR="00000000" w:rsidDel="00000000" w:rsidP="00000000" w:rsidRDefault="00000000" w:rsidRPr="00000000" w14:paraId="00000009">
      <w:pPr>
        <w:numPr>
          <w:ilvl w:val="0"/>
          <w:numId w:val="1"/>
        </w:numPr>
        <w:ind w:left="720" w:hanging="360"/>
        <w:rPr>
          <w:sz w:val="28"/>
          <w:szCs w:val="28"/>
          <w:u w:val="none"/>
        </w:rPr>
      </w:pPr>
      <w:r w:rsidDel="00000000" w:rsidR="00000000" w:rsidRPr="00000000">
        <w:rPr>
          <w:sz w:val="28"/>
          <w:szCs w:val="28"/>
          <w:rtl w:val="0"/>
        </w:rPr>
        <w:t xml:space="preserve">Improved forecast for Refinance Eligibility on forward paths: See: </w:t>
      </w:r>
      <w:hyperlink r:id="rId10">
        <w:r w:rsidDel="00000000" w:rsidR="00000000" w:rsidRPr="00000000">
          <w:rPr>
            <w:color w:val="1155cc"/>
            <w:sz w:val="28"/>
            <w:szCs w:val="28"/>
            <w:u w:val="single"/>
            <w:rtl w:val="0"/>
          </w:rPr>
          <w:t xml:space="preserve">https://docs.google.com/document/d/1eTYQ14V5jN0m_iFX2qOZ9HOj0c4u_Mh6O1PybfIHQdo/edit</w:t>
        </w:r>
      </w:hyperlink>
      <w:r w:rsidDel="00000000" w:rsidR="00000000" w:rsidRPr="00000000">
        <w:rPr>
          <w:rtl w:val="0"/>
        </w:rPr>
      </w:r>
    </w:p>
    <w:p w:rsidR="00000000" w:rsidDel="00000000" w:rsidP="00000000" w:rsidRDefault="00000000" w:rsidRPr="00000000" w14:paraId="0000000A">
      <w:pPr>
        <w:numPr>
          <w:ilvl w:val="0"/>
          <w:numId w:val="1"/>
        </w:numPr>
        <w:ind w:left="720" w:hanging="360"/>
        <w:rPr>
          <w:sz w:val="28"/>
          <w:szCs w:val="28"/>
          <w:u w:val="none"/>
        </w:rPr>
      </w:pPr>
      <w:r w:rsidDel="00000000" w:rsidR="00000000" w:rsidRPr="00000000">
        <w:rPr>
          <w:sz w:val="28"/>
          <w:szCs w:val="28"/>
          <w:rtl w:val="0"/>
        </w:rPr>
        <w:t xml:space="preserve">Conventional Model Update: 2.41</w:t>
      </w:r>
    </w:p>
    <w:p w:rsidR="00000000" w:rsidDel="00000000" w:rsidP="00000000" w:rsidRDefault="00000000" w:rsidRPr="00000000" w14:paraId="0000000B">
      <w:pPr>
        <w:numPr>
          <w:ilvl w:val="1"/>
          <w:numId w:val="1"/>
        </w:numPr>
        <w:ind w:left="1440" w:hanging="360"/>
        <w:rPr>
          <w:sz w:val="28"/>
          <w:szCs w:val="28"/>
          <w:u w:val="none"/>
        </w:rPr>
      </w:pPr>
      <w:r w:rsidDel="00000000" w:rsidR="00000000" w:rsidRPr="00000000">
        <w:rPr>
          <w:sz w:val="28"/>
          <w:szCs w:val="28"/>
          <w:rtl w:val="0"/>
        </w:rPr>
        <w:t xml:space="preserve">Default model: updated spline curves; added dependence on CAI</w:t>
      </w:r>
    </w:p>
    <w:p w:rsidR="00000000" w:rsidDel="00000000" w:rsidP="00000000" w:rsidRDefault="00000000" w:rsidRPr="00000000" w14:paraId="0000000C">
      <w:pPr>
        <w:numPr>
          <w:ilvl w:val="1"/>
          <w:numId w:val="1"/>
        </w:numPr>
        <w:ind w:left="1440" w:hanging="360"/>
        <w:rPr>
          <w:sz w:val="28"/>
          <w:szCs w:val="28"/>
          <w:u w:val="none"/>
        </w:rPr>
      </w:pPr>
      <w:r w:rsidDel="00000000" w:rsidR="00000000" w:rsidRPr="00000000">
        <w:rPr>
          <w:sz w:val="28"/>
          <w:szCs w:val="28"/>
          <w:rtl w:val="0"/>
        </w:rPr>
        <w:t xml:space="preserve">Turnover model: </w:t>
      </w:r>
    </w:p>
    <w:p w:rsidR="00000000" w:rsidDel="00000000" w:rsidP="00000000" w:rsidRDefault="00000000" w:rsidRPr="00000000" w14:paraId="0000000D">
      <w:pPr>
        <w:numPr>
          <w:ilvl w:val="1"/>
          <w:numId w:val="1"/>
        </w:numPr>
        <w:ind w:left="1440" w:hanging="360"/>
        <w:rPr>
          <w:sz w:val="28"/>
          <w:szCs w:val="28"/>
          <w:u w:val="none"/>
        </w:rPr>
      </w:pPr>
      <w:r w:rsidDel="00000000" w:rsidR="00000000" w:rsidRPr="00000000">
        <w:rPr>
          <w:sz w:val="28"/>
          <w:szCs w:val="28"/>
          <w:rtl w:val="0"/>
        </w:rPr>
        <w:t xml:space="preserve">Refinance model: No changes in model parameters; there will be noticeable changes in forecasts for some CQ/CR bonds because of the updated incentive calculation and also because of the revised propagation of refinance eligibility </w:t>
      </w:r>
    </w:p>
    <w:p w:rsidR="00000000" w:rsidDel="00000000" w:rsidP="00000000" w:rsidRDefault="00000000" w:rsidRPr="00000000" w14:paraId="0000000E">
      <w:pPr>
        <w:numPr>
          <w:ilvl w:val="0"/>
          <w:numId w:val="1"/>
        </w:numPr>
        <w:ind w:left="720" w:hanging="360"/>
        <w:rPr>
          <w:sz w:val="28"/>
          <w:szCs w:val="28"/>
          <w:u w:val="none"/>
        </w:rPr>
      </w:pPr>
      <w:r w:rsidDel="00000000" w:rsidR="00000000" w:rsidRPr="00000000">
        <w:rPr>
          <w:rFonts w:ascii="Courier New" w:cs="Courier New" w:eastAsia="Courier New" w:hAnsi="Courier New"/>
          <w:sz w:val="28"/>
          <w:szCs w:val="28"/>
          <w:rtl w:val="0"/>
        </w:rPr>
        <w:t xml:space="preserve">ScaleDB</w:t>
      </w:r>
      <w:r w:rsidDel="00000000" w:rsidR="00000000" w:rsidRPr="00000000">
        <w:rPr>
          <w:sz w:val="28"/>
          <w:szCs w:val="28"/>
          <w:rtl w:val="0"/>
        </w:rPr>
        <w:t xml:space="preserve"> Changes:</w:t>
      </w:r>
    </w:p>
    <w:p w:rsidR="00000000" w:rsidDel="00000000" w:rsidP="00000000" w:rsidRDefault="00000000" w:rsidRPr="00000000" w14:paraId="0000000F">
      <w:pPr>
        <w:numPr>
          <w:ilvl w:val="1"/>
          <w:numId w:val="1"/>
        </w:numPr>
        <w:ind w:left="1440" w:hanging="360"/>
        <w:rPr>
          <w:sz w:val="28"/>
          <w:szCs w:val="28"/>
          <w:u w:val="none"/>
        </w:rPr>
      </w:pPr>
      <w:r w:rsidDel="00000000" w:rsidR="00000000" w:rsidRPr="00000000">
        <w:rPr>
          <w:sz w:val="28"/>
          <w:szCs w:val="28"/>
          <w:rtl w:val="0"/>
        </w:rPr>
        <w:t xml:space="preserve">Released GNMA and Jumbo mortgage rate series and spreads</w:t>
      </w:r>
    </w:p>
    <w:p w:rsidR="00000000" w:rsidDel="00000000" w:rsidP="00000000" w:rsidRDefault="00000000" w:rsidRPr="00000000" w14:paraId="00000010">
      <w:pPr>
        <w:numPr>
          <w:ilvl w:val="1"/>
          <w:numId w:val="1"/>
        </w:numPr>
        <w:ind w:left="1440" w:hanging="360"/>
        <w:rPr>
          <w:sz w:val="28"/>
          <w:szCs w:val="28"/>
          <w:u w:val="none"/>
        </w:rPr>
      </w:pPr>
      <w:r w:rsidDel="00000000" w:rsidR="00000000" w:rsidRPr="00000000">
        <w:rPr>
          <w:sz w:val="28"/>
          <w:szCs w:val="28"/>
          <w:rtl w:val="0"/>
        </w:rPr>
        <w:t xml:space="preserve">Updated incentive calculation: use GNMA mortgage rate series in FHA incentive calculation, populated incentive v2.41 in DB. See: </w:t>
      </w:r>
      <w:hyperlink r:id="rId11">
        <w:r w:rsidDel="00000000" w:rsidR="00000000" w:rsidRPr="00000000">
          <w:rPr>
            <w:color w:val="1155cc"/>
            <w:sz w:val="28"/>
            <w:szCs w:val="28"/>
            <w:u w:val="single"/>
            <w:rtl w:val="0"/>
          </w:rPr>
          <w:t xml:space="preserve">https://drive.google.com/drive/folders/0B4Dkdqf5GPRaM0N2a2NGU3RzTjA</w:t>
        </w:r>
      </w:hyperlink>
      <w:r w:rsidDel="00000000" w:rsidR="00000000" w:rsidRPr="00000000">
        <w:rPr>
          <w:rtl w:val="0"/>
        </w:rPr>
      </w:r>
    </w:p>
    <w:p w:rsidR="00000000" w:rsidDel="00000000" w:rsidP="00000000" w:rsidRDefault="00000000" w:rsidRPr="00000000" w14:paraId="00000011">
      <w:pPr>
        <w:numPr>
          <w:ilvl w:val="1"/>
          <w:numId w:val="1"/>
        </w:numPr>
        <w:ind w:left="1440" w:hanging="360"/>
        <w:rPr>
          <w:sz w:val="28"/>
          <w:szCs w:val="28"/>
          <w:u w:val="none"/>
        </w:rPr>
      </w:pPr>
      <w:r w:rsidDel="00000000" w:rsidR="00000000" w:rsidRPr="00000000">
        <w:rPr>
          <w:sz w:val="28"/>
          <w:szCs w:val="28"/>
          <w:rtl w:val="0"/>
        </w:rPr>
        <w:t xml:space="preserve">Bug fix: Backfilling Incentive Calculations for Pools w/out LL Data. See:</w:t>
      </w:r>
    </w:p>
    <w:p w:rsidR="00000000" w:rsidDel="00000000" w:rsidP="00000000" w:rsidRDefault="00000000" w:rsidRPr="00000000" w14:paraId="00000012">
      <w:pPr>
        <w:ind w:left="1440" w:firstLine="0"/>
        <w:rPr>
          <w:color w:val="1155cc"/>
          <w:sz w:val="28"/>
          <w:szCs w:val="28"/>
          <w:u w:val="single"/>
        </w:rPr>
      </w:pPr>
      <w:hyperlink r:id="rId12">
        <w:r w:rsidDel="00000000" w:rsidR="00000000" w:rsidRPr="00000000">
          <w:rPr>
            <w:color w:val="1155cc"/>
            <w:sz w:val="28"/>
            <w:szCs w:val="28"/>
            <w:u w:val="single"/>
            <w:rtl w:val="0"/>
          </w:rPr>
          <w:t xml:space="preserve">https://docs.google.com/document/d/1xmcIx-hCBPdC1zh_fayysSc3Lz5CiRKHEbvA7fccmS4/edit</w:t>
        </w:r>
      </w:hyperlink>
      <w:r w:rsidDel="00000000" w:rsidR="00000000" w:rsidRPr="00000000">
        <w:rPr>
          <w:rtl w:val="0"/>
        </w:rPr>
      </w:r>
    </w:p>
    <w:p w:rsidR="00000000" w:rsidDel="00000000" w:rsidP="00000000" w:rsidRDefault="00000000" w:rsidRPr="00000000" w14:paraId="00000013">
      <w:pPr>
        <w:numPr>
          <w:ilvl w:val="1"/>
          <w:numId w:val="1"/>
        </w:numPr>
        <w:ind w:left="1440" w:hanging="360"/>
        <w:rPr>
          <w:sz w:val="28"/>
          <w:szCs w:val="28"/>
        </w:rPr>
      </w:pPr>
      <w:r w:rsidDel="00000000" w:rsidR="00000000" w:rsidRPr="00000000">
        <w:rPr>
          <w:sz w:val="28"/>
          <w:szCs w:val="28"/>
          <w:rtl w:val="0"/>
        </w:rPr>
        <w:t xml:space="preserve">Updated burnout v2.41 based on the incentive updates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sz w:val="36"/>
          <w:szCs w:val="36"/>
        </w:rPr>
      </w:pPr>
      <w:r w:rsidDel="00000000" w:rsidR="00000000" w:rsidRPr="00000000">
        <w:rPr>
          <w:b w:val="1"/>
          <w:sz w:val="36"/>
          <w:szCs w:val="36"/>
          <w:rtl w:val="0"/>
        </w:rPr>
        <w:t xml:space="preserve">July 21st, 2017 Release</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b w:val="1"/>
          <w:sz w:val="28"/>
          <w:szCs w:val="28"/>
        </w:rPr>
      </w:pPr>
      <w:r w:rsidDel="00000000" w:rsidR="00000000" w:rsidRPr="00000000">
        <w:rPr>
          <w:b w:val="1"/>
          <w:sz w:val="28"/>
          <w:szCs w:val="28"/>
          <w:rtl w:val="0"/>
        </w:rPr>
        <w:t xml:space="preserve">GNMA 30-year Prepayment Model v2.00</w:t>
      </w:r>
    </w:p>
    <w:p w:rsidR="00000000" w:rsidDel="00000000" w:rsidP="00000000" w:rsidRDefault="00000000" w:rsidRPr="00000000" w14:paraId="00000018">
      <w:pPr>
        <w:rPr>
          <w:color w:val="222222"/>
          <w:sz w:val="28"/>
          <w:szCs w:val="28"/>
          <w:highlight w:val="white"/>
        </w:rPr>
      </w:pPr>
      <w:r w:rsidDel="00000000" w:rsidR="00000000" w:rsidRPr="00000000">
        <w:rPr>
          <w:rtl w:val="0"/>
        </w:rPr>
      </w:r>
    </w:p>
    <w:p w:rsidR="00000000" w:rsidDel="00000000" w:rsidP="00000000" w:rsidRDefault="00000000" w:rsidRPr="00000000" w14:paraId="00000019">
      <w:pPr>
        <w:rPr>
          <w:color w:val="222222"/>
          <w:sz w:val="28"/>
          <w:szCs w:val="28"/>
          <w:highlight w:val="white"/>
          <w:u w:val="single"/>
        </w:rPr>
      </w:pPr>
      <w:r w:rsidDel="00000000" w:rsidR="00000000" w:rsidRPr="00000000">
        <w:rPr>
          <w:color w:val="222222"/>
          <w:sz w:val="28"/>
          <w:szCs w:val="28"/>
          <w:highlight w:val="white"/>
          <w:u w:val="single"/>
          <w:rtl w:val="0"/>
        </w:rPr>
        <w:t xml:space="preserve">Design Decisions</w:t>
      </w:r>
    </w:p>
    <w:p w:rsidR="00000000" w:rsidDel="00000000" w:rsidP="00000000" w:rsidRDefault="00000000" w:rsidRPr="00000000" w14:paraId="0000001A">
      <w:pPr>
        <w:numPr>
          <w:ilvl w:val="0"/>
          <w:numId w:val="4"/>
        </w:numPr>
        <w:ind w:left="940" w:hanging="360"/>
        <w:rPr>
          <w:sz w:val="28"/>
          <w:szCs w:val="28"/>
        </w:rPr>
      </w:pPr>
      <w:r w:rsidDel="00000000" w:rsidR="00000000" w:rsidRPr="00000000">
        <w:rPr>
          <w:color w:val="222222"/>
          <w:sz w:val="28"/>
          <w:szCs w:val="28"/>
          <w:highlight w:val="white"/>
          <w:rtl w:val="0"/>
        </w:rPr>
        <w:t xml:space="preserve">Focus on data set when LL data becomes available (2013-08 to present)</w:t>
      </w:r>
    </w:p>
    <w:p w:rsidR="00000000" w:rsidDel="00000000" w:rsidP="00000000" w:rsidRDefault="00000000" w:rsidRPr="00000000" w14:paraId="0000001B">
      <w:pPr>
        <w:numPr>
          <w:ilvl w:val="0"/>
          <w:numId w:val="4"/>
        </w:numPr>
        <w:ind w:left="940" w:hanging="360"/>
        <w:rPr>
          <w:sz w:val="28"/>
          <w:szCs w:val="28"/>
        </w:rPr>
      </w:pPr>
      <w:r w:rsidDel="00000000" w:rsidR="00000000" w:rsidRPr="00000000">
        <w:rPr>
          <w:color w:val="222222"/>
          <w:sz w:val="28"/>
          <w:szCs w:val="28"/>
          <w:highlight w:val="white"/>
          <w:rtl w:val="0"/>
        </w:rPr>
        <w:t xml:space="preserve">Bucket the data using LL buckets as opposed to pool-level buckets to put together a fitting file</w:t>
      </w:r>
    </w:p>
    <w:p w:rsidR="00000000" w:rsidDel="00000000" w:rsidP="00000000" w:rsidRDefault="00000000" w:rsidRPr="00000000" w14:paraId="0000001C">
      <w:pPr>
        <w:numPr>
          <w:ilvl w:val="0"/>
          <w:numId w:val="4"/>
        </w:numPr>
        <w:ind w:left="940" w:hanging="360"/>
        <w:rPr>
          <w:sz w:val="28"/>
          <w:szCs w:val="28"/>
        </w:rPr>
      </w:pPr>
      <w:r w:rsidDel="00000000" w:rsidR="00000000" w:rsidRPr="00000000">
        <w:rPr>
          <w:color w:val="222222"/>
          <w:sz w:val="28"/>
          <w:szCs w:val="28"/>
          <w:highlight w:val="white"/>
          <w:rtl w:val="0"/>
        </w:rPr>
        <w:t xml:space="preserve">FHA, VA, RD and PIH will be modeled separately -- in other words, there will be a distinct set of JSON files for each mortgage program</w:t>
      </w:r>
    </w:p>
    <w:p w:rsidR="00000000" w:rsidDel="00000000" w:rsidP="00000000" w:rsidRDefault="00000000" w:rsidRPr="00000000" w14:paraId="0000001D">
      <w:pPr>
        <w:rPr>
          <w:color w:val="222222"/>
          <w:sz w:val="28"/>
          <w:szCs w:val="28"/>
          <w:highlight w:val="white"/>
        </w:rPr>
      </w:pPr>
      <w:r w:rsidDel="00000000" w:rsidR="00000000" w:rsidRPr="00000000">
        <w:rPr>
          <w:rtl w:val="0"/>
        </w:rPr>
      </w:r>
    </w:p>
    <w:p w:rsidR="00000000" w:rsidDel="00000000" w:rsidP="00000000" w:rsidRDefault="00000000" w:rsidRPr="00000000" w14:paraId="0000001E">
      <w:pPr>
        <w:rPr>
          <w:color w:val="222222"/>
          <w:sz w:val="28"/>
          <w:szCs w:val="28"/>
          <w:highlight w:val="white"/>
          <w:u w:val="single"/>
        </w:rPr>
      </w:pPr>
      <w:r w:rsidDel="00000000" w:rsidR="00000000" w:rsidRPr="00000000">
        <w:rPr>
          <w:color w:val="222222"/>
          <w:sz w:val="28"/>
          <w:szCs w:val="28"/>
          <w:highlight w:val="white"/>
          <w:u w:val="single"/>
          <w:rtl w:val="0"/>
        </w:rPr>
        <w:t xml:space="preserve">Submodel: Curtailment and Full Payoff</w:t>
      </w:r>
    </w:p>
    <w:p w:rsidR="00000000" w:rsidDel="00000000" w:rsidP="00000000" w:rsidRDefault="00000000" w:rsidRPr="00000000" w14:paraId="0000001F">
      <w:pPr>
        <w:numPr>
          <w:ilvl w:val="0"/>
          <w:numId w:val="7"/>
        </w:numPr>
        <w:ind w:left="720" w:hanging="360"/>
        <w:rPr>
          <w:color w:val="222222"/>
          <w:sz w:val="28"/>
          <w:szCs w:val="28"/>
          <w:highlight w:val="white"/>
        </w:rPr>
      </w:pPr>
      <w:r w:rsidDel="00000000" w:rsidR="00000000" w:rsidRPr="00000000">
        <w:rPr>
          <w:color w:val="222222"/>
          <w:sz w:val="28"/>
          <w:szCs w:val="28"/>
          <w:highlight w:val="white"/>
          <w:rtl w:val="0"/>
        </w:rPr>
        <w:t xml:space="preserve">Assumed to be identical with Conventional 30-years for all 4 program types. The curtailment history for Ginnie Mae loans is much less extensive than that for Conventional loans and there is probably not that much of a difference between curtailment and full payoff rates for borrowers with different credit characteristics. Taking these two factors plus a convenience premium into consideration, it was decided to we would align the curtailment/full payoff curve across Agencies.  </w:t>
      </w:r>
    </w:p>
    <w:p w:rsidR="00000000" w:rsidDel="00000000" w:rsidP="00000000" w:rsidRDefault="00000000" w:rsidRPr="00000000" w14:paraId="00000020">
      <w:pPr>
        <w:rPr>
          <w:color w:val="222222"/>
          <w:sz w:val="28"/>
          <w:szCs w:val="28"/>
          <w:highlight w:val="white"/>
        </w:rPr>
      </w:pPr>
      <w:r w:rsidDel="00000000" w:rsidR="00000000" w:rsidRPr="00000000">
        <w:rPr>
          <w:rtl w:val="0"/>
        </w:rPr>
      </w:r>
    </w:p>
    <w:p w:rsidR="00000000" w:rsidDel="00000000" w:rsidP="00000000" w:rsidRDefault="00000000" w:rsidRPr="00000000" w14:paraId="00000021">
      <w:pPr>
        <w:rPr>
          <w:color w:val="222222"/>
          <w:sz w:val="28"/>
          <w:szCs w:val="28"/>
          <w:highlight w:val="white"/>
          <w:u w:val="single"/>
        </w:rPr>
      </w:pPr>
      <w:r w:rsidDel="00000000" w:rsidR="00000000" w:rsidRPr="00000000">
        <w:rPr>
          <w:color w:val="222222"/>
          <w:sz w:val="28"/>
          <w:szCs w:val="28"/>
          <w:highlight w:val="white"/>
          <w:u w:val="single"/>
          <w:rtl w:val="0"/>
        </w:rPr>
        <w:t xml:space="preserve">Submodel: Default</w:t>
      </w:r>
    </w:p>
    <w:p w:rsidR="00000000" w:rsidDel="00000000" w:rsidP="00000000" w:rsidRDefault="00000000" w:rsidRPr="00000000" w14:paraId="00000022">
      <w:pPr>
        <w:numPr>
          <w:ilvl w:val="0"/>
          <w:numId w:val="7"/>
        </w:numPr>
        <w:ind w:left="720" w:hanging="360"/>
        <w:rPr>
          <w:color w:val="222222"/>
          <w:sz w:val="28"/>
          <w:szCs w:val="28"/>
          <w:highlight w:val="white"/>
        </w:rPr>
      </w:pPr>
      <w:r w:rsidDel="00000000" w:rsidR="00000000" w:rsidRPr="00000000">
        <w:rPr>
          <w:color w:val="222222"/>
          <w:sz w:val="28"/>
          <w:szCs w:val="28"/>
          <w:highlight w:val="white"/>
          <w:rtl w:val="0"/>
        </w:rPr>
        <w:t xml:space="preserve">Individually estimated for each Loan Product type: FHA, VA, RHS, and PIH. </w:t>
      </w:r>
    </w:p>
    <w:p w:rsidR="00000000" w:rsidDel="00000000" w:rsidP="00000000" w:rsidRDefault="00000000" w:rsidRPr="00000000" w14:paraId="00000023">
      <w:pPr>
        <w:rPr>
          <w:color w:val="222222"/>
          <w:sz w:val="28"/>
          <w:szCs w:val="28"/>
          <w:highlight w:val="white"/>
        </w:rPr>
      </w:pPr>
      <w:r w:rsidDel="00000000" w:rsidR="00000000" w:rsidRPr="00000000">
        <w:rPr>
          <w:rtl w:val="0"/>
        </w:rPr>
      </w:r>
    </w:p>
    <w:p w:rsidR="00000000" w:rsidDel="00000000" w:rsidP="00000000" w:rsidRDefault="00000000" w:rsidRPr="00000000" w14:paraId="00000024">
      <w:pPr>
        <w:rPr>
          <w:color w:val="222222"/>
          <w:sz w:val="28"/>
          <w:szCs w:val="28"/>
          <w:highlight w:val="white"/>
          <w:u w:val="single"/>
        </w:rPr>
      </w:pPr>
      <w:r w:rsidDel="00000000" w:rsidR="00000000" w:rsidRPr="00000000">
        <w:rPr>
          <w:color w:val="222222"/>
          <w:sz w:val="28"/>
          <w:szCs w:val="28"/>
          <w:highlight w:val="white"/>
          <w:u w:val="single"/>
          <w:rtl w:val="0"/>
        </w:rPr>
        <w:t xml:space="preserve">Submodel: Turnover</w:t>
      </w:r>
    </w:p>
    <w:p w:rsidR="00000000" w:rsidDel="00000000" w:rsidP="00000000" w:rsidRDefault="00000000" w:rsidRPr="00000000" w14:paraId="00000025">
      <w:pPr>
        <w:numPr>
          <w:ilvl w:val="0"/>
          <w:numId w:val="7"/>
        </w:numPr>
        <w:ind w:left="720" w:hanging="360"/>
        <w:rPr>
          <w:color w:val="222222"/>
          <w:sz w:val="28"/>
          <w:szCs w:val="28"/>
          <w:highlight w:val="white"/>
        </w:rPr>
      </w:pPr>
      <w:r w:rsidDel="00000000" w:rsidR="00000000" w:rsidRPr="00000000">
        <w:rPr>
          <w:color w:val="222222"/>
          <w:sz w:val="28"/>
          <w:szCs w:val="28"/>
          <w:highlight w:val="white"/>
          <w:rtl w:val="0"/>
        </w:rPr>
        <w:t xml:space="preserve">Individually estimated for each Loan Product type: FHA, VA, RHS, and PIH. </w:t>
      </w:r>
    </w:p>
    <w:p w:rsidR="00000000" w:rsidDel="00000000" w:rsidP="00000000" w:rsidRDefault="00000000" w:rsidRPr="00000000" w14:paraId="00000026">
      <w:pPr>
        <w:rPr>
          <w:color w:val="222222"/>
          <w:sz w:val="28"/>
          <w:szCs w:val="28"/>
          <w:highlight w:val="white"/>
        </w:rPr>
      </w:pPr>
      <w:r w:rsidDel="00000000" w:rsidR="00000000" w:rsidRPr="00000000">
        <w:rPr>
          <w:rtl w:val="0"/>
        </w:rPr>
      </w:r>
    </w:p>
    <w:p w:rsidR="00000000" w:rsidDel="00000000" w:rsidP="00000000" w:rsidRDefault="00000000" w:rsidRPr="00000000" w14:paraId="00000027">
      <w:pPr>
        <w:rPr>
          <w:color w:val="222222"/>
          <w:sz w:val="28"/>
          <w:szCs w:val="28"/>
          <w:highlight w:val="white"/>
          <w:u w:val="single"/>
        </w:rPr>
      </w:pPr>
      <w:r w:rsidDel="00000000" w:rsidR="00000000" w:rsidRPr="00000000">
        <w:rPr>
          <w:color w:val="222222"/>
          <w:sz w:val="28"/>
          <w:szCs w:val="28"/>
          <w:highlight w:val="white"/>
          <w:u w:val="single"/>
          <w:rtl w:val="0"/>
        </w:rPr>
        <w:t xml:space="preserve">Submodel: Refinancing</w:t>
      </w:r>
    </w:p>
    <w:p w:rsidR="00000000" w:rsidDel="00000000" w:rsidP="00000000" w:rsidRDefault="00000000" w:rsidRPr="00000000" w14:paraId="00000028">
      <w:pPr>
        <w:numPr>
          <w:ilvl w:val="0"/>
          <w:numId w:val="7"/>
        </w:numPr>
        <w:ind w:left="720" w:hanging="360"/>
        <w:rPr>
          <w:color w:val="222222"/>
          <w:sz w:val="28"/>
          <w:szCs w:val="28"/>
          <w:highlight w:val="white"/>
        </w:rPr>
      </w:pPr>
      <w:r w:rsidDel="00000000" w:rsidR="00000000" w:rsidRPr="00000000">
        <w:rPr>
          <w:color w:val="222222"/>
          <w:sz w:val="28"/>
          <w:szCs w:val="28"/>
          <w:highlight w:val="white"/>
          <w:rtl w:val="0"/>
        </w:rPr>
        <w:t xml:space="preserve">Individually estimated for each Loan Product type: FHA, VA, RHS, and PIH. </w:t>
      </w:r>
    </w:p>
    <w:p w:rsidR="00000000" w:rsidDel="00000000" w:rsidP="00000000" w:rsidRDefault="00000000" w:rsidRPr="00000000" w14:paraId="00000029">
      <w:pPr>
        <w:rPr>
          <w:color w:val="222222"/>
          <w:sz w:val="28"/>
          <w:szCs w:val="28"/>
          <w:highlight w:val="white"/>
        </w:rPr>
      </w:pPr>
      <w:r w:rsidDel="00000000" w:rsidR="00000000" w:rsidRPr="00000000">
        <w:rPr>
          <w:rtl w:val="0"/>
        </w:rPr>
      </w:r>
    </w:p>
    <w:p w:rsidR="00000000" w:rsidDel="00000000" w:rsidP="00000000" w:rsidRDefault="00000000" w:rsidRPr="00000000" w14:paraId="0000002A">
      <w:pPr>
        <w:rPr>
          <w:color w:val="222222"/>
          <w:sz w:val="28"/>
          <w:szCs w:val="28"/>
          <w:highlight w:val="white"/>
        </w:rPr>
      </w:pPr>
      <w:r w:rsidDel="00000000" w:rsidR="00000000" w:rsidRPr="00000000">
        <w:rPr>
          <w:rtl w:val="0"/>
        </w:rPr>
      </w:r>
    </w:p>
    <w:p w:rsidR="00000000" w:rsidDel="00000000" w:rsidP="00000000" w:rsidRDefault="00000000" w:rsidRPr="00000000" w14:paraId="0000002B">
      <w:pPr>
        <w:rPr>
          <w:color w:val="222222"/>
          <w:sz w:val="28"/>
          <w:szCs w:val="28"/>
          <w:highlight w:val="white"/>
        </w:rPr>
      </w:pPr>
      <w:r w:rsidDel="00000000" w:rsidR="00000000" w:rsidRPr="00000000">
        <w:rPr>
          <w:rtl w:val="0"/>
        </w:rPr>
      </w:r>
    </w:p>
    <w:p w:rsidR="00000000" w:rsidDel="00000000" w:rsidP="00000000" w:rsidRDefault="00000000" w:rsidRPr="00000000" w14:paraId="0000002C">
      <w:pPr>
        <w:rPr>
          <w:b w:val="1"/>
          <w:sz w:val="28"/>
          <w:szCs w:val="28"/>
        </w:rPr>
      </w:pPr>
      <w:r w:rsidDel="00000000" w:rsidR="00000000" w:rsidRPr="00000000">
        <w:rPr>
          <w:b w:val="1"/>
          <w:sz w:val="28"/>
          <w:szCs w:val="28"/>
          <w:rtl w:val="0"/>
        </w:rPr>
        <w:t xml:space="preserve">Conventional 30-year Prepayment Model v2.42</w:t>
      </w:r>
    </w:p>
    <w:p w:rsidR="00000000" w:rsidDel="00000000" w:rsidP="00000000" w:rsidRDefault="00000000" w:rsidRPr="00000000" w14:paraId="0000002D">
      <w:pPr>
        <w:numPr>
          <w:ilvl w:val="0"/>
          <w:numId w:val="2"/>
        </w:numPr>
        <w:ind w:left="720" w:hanging="360"/>
        <w:rPr>
          <w:color w:val="222222"/>
          <w:sz w:val="28"/>
          <w:szCs w:val="28"/>
          <w:highlight w:val="white"/>
        </w:rPr>
      </w:pPr>
      <w:r w:rsidDel="00000000" w:rsidR="00000000" w:rsidRPr="00000000">
        <w:rPr>
          <w:color w:val="222222"/>
          <w:sz w:val="28"/>
          <w:szCs w:val="28"/>
          <w:highlight w:val="white"/>
          <w:rtl w:val="0"/>
        </w:rPr>
        <w:t xml:space="preserve">Changes to the curtailment curve to reflect the fact that the curtailment + full payoff function may be 2-4% CPR too fast for pools with WALAs between 160 and 300 months, and is about 2-5% too slow for pools with WALAs &gt; 330 months.</w:t>
      </w:r>
    </w:p>
    <w:p w:rsidR="00000000" w:rsidDel="00000000" w:rsidP="00000000" w:rsidRDefault="00000000" w:rsidRPr="00000000" w14:paraId="0000002E">
      <w:pPr>
        <w:numPr>
          <w:ilvl w:val="0"/>
          <w:numId w:val="2"/>
        </w:numPr>
        <w:ind w:left="720" w:hanging="360"/>
        <w:rPr>
          <w:color w:val="222222"/>
          <w:sz w:val="28"/>
          <w:szCs w:val="28"/>
          <w:highlight w:val="white"/>
        </w:rPr>
      </w:pPr>
      <w:r w:rsidDel="00000000" w:rsidR="00000000" w:rsidRPr="00000000">
        <w:rPr>
          <w:color w:val="222222"/>
          <w:sz w:val="28"/>
          <w:szCs w:val="28"/>
          <w:highlight w:val="white"/>
          <w:rtl w:val="0"/>
        </w:rPr>
        <w:t xml:space="preserve">Splines in the turnover model (including WACLS) were tuned to demonstrate better behavior at end points.</w:t>
      </w:r>
    </w:p>
    <w:p w:rsidR="00000000" w:rsidDel="00000000" w:rsidP="00000000" w:rsidRDefault="00000000" w:rsidRPr="00000000" w14:paraId="0000002F">
      <w:pPr>
        <w:rPr>
          <w:color w:val="222222"/>
          <w:sz w:val="28"/>
          <w:szCs w:val="28"/>
          <w:highlight w:val="white"/>
        </w:rPr>
      </w:pPr>
      <w:r w:rsidDel="00000000" w:rsidR="00000000" w:rsidRPr="00000000">
        <w:rPr>
          <w:rtl w:val="0"/>
        </w:rPr>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Scale</w:t>
      </w:r>
    </w:p>
    <w:p w:rsidR="00000000" w:rsidDel="00000000" w:rsidP="00000000" w:rsidRDefault="00000000" w:rsidRPr="00000000" w14:paraId="00000031">
      <w:pPr>
        <w:numPr>
          <w:ilvl w:val="0"/>
          <w:numId w:val="5"/>
        </w:numPr>
        <w:ind w:left="720" w:hanging="360"/>
        <w:rPr>
          <w:color w:val="222222"/>
          <w:sz w:val="28"/>
          <w:szCs w:val="28"/>
          <w:highlight w:val="white"/>
        </w:rPr>
      </w:pPr>
      <w:r w:rsidDel="00000000" w:rsidR="00000000" w:rsidRPr="00000000">
        <w:rPr>
          <w:color w:val="222222"/>
          <w:sz w:val="28"/>
          <w:szCs w:val="28"/>
          <w:highlight w:val="white"/>
          <w:rtl w:val="0"/>
        </w:rPr>
        <w:t xml:space="preserve">Vectoring dials for conventional models </w:t>
      </w:r>
    </w:p>
    <w:p w:rsidR="00000000" w:rsidDel="00000000" w:rsidP="00000000" w:rsidRDefault="00000000" w:rsidRPr="00000000" w14:paraId="00000032">
      <w:pPr>
        <w:numPr>
          <w:ilvl w:val="0"/>
          <w:numId w:val="5"/>
        </w:numPr>
        <w:ind w:left="720" w:hanging="360"/>
        <w:rPr>
          <w:color w:val="222222"/>
          <w:sz w:val="28"/>
          <w:szCs w:val="28"/>
          <w:highlight w:val="white"/>
        </w:rPr>
      </w:pPr>
      <w:r w:rsidDel="00000000" w:rsidR="00000000" w:rsidRPr="00000000">
        <w:rPr>
          <w:color w:val="222222"/>
          <w:sz w:val="28"/>
          <w:szCs w:val="28"/>
          <w:highlight w:val="white"/>
          <w:rtl w:val="0"/>
        </w:rPr>
        <w:t xml:space="preserve">Breaking up the value of GPL bonds into penalty and non-penalty components are still the top two priorities in terms of new features</w:t>
      </w:r>
    </w:p>
    <w:p w:rsidR="00000000" w:rsidDel="00000000" w:rsidP="00000000" w:rsidRDefault="00000000" w:rsidRPr="00000000" w14:paraId="00000033">
      <w:pPr>
        <w:numPr>
          <w:ilvl w:val="0"/>
          <w:numId w:val="5"/>
        </w:numPr>
        <w:ind w:left="720" w:hanging="360"/>
        <w:rPr>
          <w:color w:val="222222"/>
          <w:sz w:val="28"/>
          <w:szCs w:val="28"/>
          <w:highlight w:val="white"/>
          <w:u w:val="none"/>
        </w:rPr>
      </w:pPr>
      <w:r w:rsidDel="00000000" w:rsidR="00000000" w:rsidRPr="00000000">
        <w:rPr>
          <w:color w:val="222222"/>
          <w:sz w:val="28"/>
          <w:szCs w:val="28"/>
          <w:highlight w:val="white"/>
          <w:rtl w:val="0"/>
        </w:rPr>
        <w:t xml:space="preserve">Code changes to handle modeling GNMA collateral by Loan Program (FHA, VA, RHS, PIH)</w:t>
      </w:r>
    </w:p>
    <w:p w:rsidR="00000000" w:rsidDel="00000000" w:rsidP="00000000" w:rsidRDefault="00000000" w:rsidRPr="00000000" w14:paraId="00000034">
      <w:pPr>
        <w:numPr>
          <w:ilvl w:val="0"/>
          <w:numId w:val="5"/>
        </w:numPr>
        <w:ind w:left="720" w:hanging="360"/>
        <w:rPr>
          <w:color w:val="222222"/>
          <w:sz w:val="28"/>
          <w:szCs w:val="28"/>
          <w:highlight w:val="white"/>
          <w:u w:val="none"/>
        </w:rPr>
      </w:pPr>
      <w:r w:rsidDel="00000000" w:rsidR="00000000" w:rsidRPr="00000000">
        <w:rPr>
          <w:color w:val="222222"/>
          <w:sz w:val="28"/>
          <w:szCs w:val="28"/>
          <w:highlight w:val="white"/>
          <w:rtl w:val="0"/>
        </w:rPr>
        <w:t xml:space="preserve">Bug fix for propagating burnout</w:t>
      </w:r>
    </w:p>
    <w:p w:rsidR="00000000" w:rsidDel="00000000" w:rsidP="00000000" w:rsidRDefault="00000000" w:rsidRPr="00000000" w14:paraId="00000035">
      <w:pPr>
        <w:rPr>
          <w:color w:val="222222"/>
          <w:sz w:val="28"/>
          <w:szCs w:val="28"/>
          <w:highlight w:val="white"/>
        </w:rPr>
      </w:pPr>
      <w:r w:rsidDel="00000000" w:rsidR="00000000" w:rsidRPr="00000000">
        <w:rPr>
          <w:rtl w:val="0"/>
        </w:rPr>
      </w:r>
    </w:p>
    <w:p w:rsidR="00000000" w:rsidDel="00000000" w:rsidP="00000000" w:rsidRDefault="00000000" w:rsidRPr="00000000" w14:paraId="00000036">
      <w:pPr>
        <w:rPr>
          <w:b w:val="1"/>
          <w:color w:val="222222"/>
          <w:sz w:val="28"/>
          <w:szCs w:val="28"/>
          <w:highlight w:val="white"/>
        </w:rPr>
      </w:pPr>
      <w:r w:rsidDel="00000000" w:rsidR="00000000" w:rsidRPr="00000000">
        <w:rPr>
          <w:b w:val="1"/>
          <w:color w:val="222222"/>
          <w:sz w:val="28"/>
          <w:szCs w:val="28"/>
          <w:highlight w:val="white"/>
          <w:rtl w:val="0"/>
        </w:rPr>
        <w:t xml:space="preserve">ScaleDB</w:t>
      </w:r>
    </w:p>
    <w:p w:rsidR="00000000" w:rsidDel="00000000" w:rsidP="00000000" w:rsidRDefault="00000000" w:rsidRPr="00000000" w14:paraId="00000037">
      <w:pPr>
        <w:numPr>
          <w:ilvl w:val="0"/>
          <w:numId w:val="8"/>
        </w:numPr>
        <w:spacing w:line="331.2" w:lineRule="auto"/>
        <w:ind w:left="720" w:hanging="360"/>
        <w:rPr>
          <w:color w:val="222222"/>
          <w:sz w:val="28"/>
          <w:szCs w:val="28"/>
          <w:highlight w:val="white"/>
        </w:rPr>
      </w:pPr>
      <w:r w:rsidDel="00000000" w:rsidR="00000000" w:rsidRPr="00000000">
        <w:rPr>
          <w:color w:val="222222"/>
          <w:sz w:val="28"/>
          <w:szCs w:val="28"/>
          <w:highlight w:val="white"/>
          <w:rtl w:val="0"/>
        </w:rPr>
        <w:t xml:space="preserve">Data update to five GNMA loan level tables  in preparation for GNMA model v2.00: (a) Added additional variables (b) Data cleaning</w:t>
      </w:r>
    </w:p>
    <w:p w:rsidR="00000000" w:rsidDel="00000000" w:rsidP="00000000" w:rsidRDefault="00000000" w:rsidRPr="00000000" w14:paraId="00000038">
      <w:pPr>
        <w:numPr>
          <w:ilvl w:val="0"/>
          <w:numId w:val="8"/>
        </w:numPr>
        <w:spacing w:line="331.2" w:lineRule="auto"/>
        <w:ind w:left="720" w:hanging="360"/>
        <w:rPr>
          <w:color w:val="222222"/>
          <w:sz w:val="28"/>
          <w:szCs w:val="28"/>
          <w:highlight w:val="white"/>
        </w:rPr>
      </w:pPr>
      <w:r w:rsidDel="00000000" w:rsidR="00000000" w:rsidRPr="00000000">
        <w:rPr>
          <w:color w:val="222222"/>
          <w:sz w:val="28"/>
          <w:szCs w:val="28"/>
          <w:highlight w:val="white"/>
          <w:rtl w:val="0"/>
        </w:rPr>
        <w:t xml:space="preserve">Improved backfilling assumptions for GNMA loans with missing history so that the incentive and burnout calculations are consistent with the case when history is available.</w:t>
      </w:r>
    </w:p>
    <w:p w:rsidR="00000000" w:rsidDel="00000000" w:rsidP="00000000" w:rsidRDefault="00000000" w:rsidRPr="00000000" w14:paraId="00000039">
      <w:pPr>
        <w:numPr>
          <w:ilvl w:val="0"/>
          <w:numId w:val="8"/>
        </w:numPr>
        <w:spacing w:line="331.2" w:lineRule="auto"/>
        <w:ind w:left="720" w:hanging="360"/>
        <w:rPr>
          <w:color w:val="222222"/>
          <w:sz w:val="28"/>
          <w:szCs w:val="28"/>
          <w:highlight w:val="white"/>
        </w:rPr>
      </w:pPr>
      <w:r w:rsidDel="00000000" w:rsidR="00000000" w:rsidRPr="00000000">
        <w:rPr>
          <w:color w:val="222222"/>
          <w:sz w:val="28"/>
          <w:szCs w:val="28"/>
          <w:highlight w:val="white"/>
          <w:rtl w:val="0"/>
        </w:rPr>
        <w:t xml:space="preserve">Improved refinance incentive calculation for government loans</w:t>
      </w:r>
    </w:p>
    <w:p w:rsidR="00000000" w:rsidDel="00000000" w:rsidP="00000000" w:rsidRDefault="00000000" w:rsidRPr="00000000" w14:paraId="0000003A">
      <w:pPr>
        <w:numPr>
          <w:ilvl w:val="0"/>
          <w:numId w:val="8"/>
        </w:numPr>
        <w:ind w:left="720" w:hanging="360"/>
        <w:rPr>
          <w:color w:val="222222"/>
          <w:sz w:val="28"/>
          <w:szCs w:val="28"/>
          <w:highlight w:val="white"/>
        </w:rPr>
      </w:pPr>
      <w:r w:rsidDel="00000000" w:rsidR="00000000" w:rsidRPr="00000000">
        <w:rPr>
          <w:color w:val="222222"/>
          <w:sz w:val="28"/>
          <w:szCs w:val="28"/>
          <w:highlight w:val="white"/>
          <w:rtl w:val="0"/>
        </w:rPr>
        <w:t xml:space="preserve">Added loan count validation check for Scale DB tables. For every monthly update going forward, we will check the loan count number for the new factor date and the previous factor date. If the count changes are out of the threshold, an error message will be sent out. </w:t>
      </w:r>
    </w:p>
    <w:p w:rsidR="00000000" w:rsidDel="00000000" w:rsidP="00000000" w:rsidRDefault="00000000" w:rsidRPr="00000000" w14:paraId="0000003B">
      <w:pPr>
        <w:pStyle w:val="Title"/>
        <w:spacing w:after="0" w:lineRule="auto"/>
        <w:jc w:val="center"/>
        <w:rPr>
          <w:rFonts w:ascii="Calibri" w:cs="Calibri" w:eastAsia="Calibri" w:hAnsi="Calibri"/>
          <w:b w:val="1"/>
          <w:sz w:val="36"/>
          <w:szCs w:val="36"/>
        </w:rPr>
      </w:pPr>
      <w:bookmarkStart w:colFirst="0" w:colLast="0" w:name="_rptxeoroex59" w:id="0"/>
      <w:bookmarkEnd w:id="0"/>
      <w:r w:rsidDel="00000000" w:rsidR="00000000" w:rsidRPr="00000000">
        <w:rPr>
          <w:rFonts w:ascii="Calibri" w:cs="Calibri" w:eastAsia="Calibri" w:hAnsi="Calibri"/>
          <w:b w:val="1"/>
          <w:sz w:val="36"/>
          <w:szCs w:val="36"/>
          <w:rtl w:val="0"/>
        </w:rPr>
        <w:t xml:space="preserve">September 15th Scale Release (Draft)</w:t>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color w:val="222222"/>
          <w:sz w:val="24"/>
          <w:szCs w:val="24"/>
          <w:highlight w:val="white"/>
        </w:rPr>
      </w:pPr>
      <w:r w:rsidDel="00000000" w:rsidR="00000000" w:rsidRPr="00000000">
        <w:rPr>
          <w:b w:val="1"/>
          <w:sz w:val="28"/>
          <w:szCs w:val="28"/>
          <w:rtl w:val="0"/>
        </w:rPr>
        <w:t xml:space="preserve">Baton (Conventional 30Yr) </w:t>
      </w:r>
      <w:r w:rsidDel="00000000" w:rsidR="00000000" w:rsidRPr="00000000">
        <w:rPr>
          <w:rtl w:val="0"/>
        </w:rPr>
      </w:r>
    </w:p>
    <w:p w:rsidR="00000000" w:rsidDel="00000000" w:rsidP="00000000" w:rsidRDefault="00000000" w:rsidRPr="00000000" w14:paraId="0000003F">
      <w:pPr>
        <w:numPr>
          <w:ilvl w:val="0"/>
          <w:numId w:val="3"/>
        </w:numPr>
        <w:ind w:left="940" w:hanging="360"/>
        <w:rPr/>
      </w:pPr>
      <w:r w:rsidDel="00000000" w:rsidR="00000000" w:rsidRPr="00000000">
        <w:rPr>
          <w:color w:val="222222"/>
          <w:sz w:val="24"/>
          <w:szCs w:val="24"/>
          <w:highlight w:val="white"/>
          <w:rtl w:val="0"/>
        </w:rPr>
        <w:t xml:space="preserve">Resolve media effect issue: </w:t>
      </w:r>
      <w:r w:rsidDel="00000000" w:rsidR="00000000" w:rsidRPr="00000000">
        <w:rPr>
          <w:color w:val="263238"/>
          <w:sz w:val="24"/>
          <w:szCs w:val="24"/>
          <w:rtl w:val="0"/>
        </w:rPr>
        <w:t xml:space="preserve">systematically improve our handling of any prepayment model-related variables on forward paths. The most glaring issue (in terms of the valuation impact) is the lack of linkage between incentive and the media effect in terms of the last actual observed value and what the "model" projects. In both cases, the actual value is based on a loan-level estimate but the forward model uses a much coarser granularity.  Fortunately, the formalism for handling this should be in place given that we had the same issue with refi eligibility. Essentially, (1) Compute a "mark-to-market" adjustment between the model value and actual value for the most recent observation date. (2) Assume the forward estimate is the model estimate + a decaying MtM adjustment.</w:t>
      </w:r>
      <w:r w:rsidDel="00000000" w:rsidR="00000000" w:rsidRPr="00000000">
        <w:rPr>
          <w:rtl w:val="0"/>
        </w:rPr>
      </w:r>
    </w:p>
    <w:p w:rsidR="00000000" w:rsidDel="00000000" w:rsidP="00000000" w:rsidRDefault="00000000" w:rsidRPr="00000000" w14:paraId="00000040">
      <w:pPr>
        <w:numPr>
          <w:ilvl w:val="0"/>
          <w:numId w:val="3"/>
        </w:numPr>
        <w:ind w:left="940" w:hanging="360"/>
        <w:rPr/>
      </w:pPr>
      <w:r w:rsidDel="00000000" w:rsidR="00000000" w:rsidRPr="00000000">
        <w:rPr>
          <w:color w:val="222222"/>
          <w:sz w:val="24"/>
          <w:szCs w:val="24"/>
          <w:highlight w:val="white"/>
          <w:rtl w:val="0"/>
        </w:rPr>
        <w:t xml:space="preserve">Model Improvements: Media effect multiplier in low media effect environments.</w:t>
      </w:r>
    </w:p>
    <w:p w:rsidR="00000000" w:rsidDel="00000000" w:rsidP="00000000" w:rsidRDefault="00000000" w:rsidRPr="00000000" w14:paraId="00000041">
      <w:pPr>
        <w:rPr>
          <w:color w:val="222222"/>
          <w:sz w:val="24"/>
          <w:szCs w:val="24"/>
          <w:highlight w:val="white"/>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GNMandolin (Ginnie 30Yr)</w:t>
      </w:r>
    </w:p>
    <w:p w:rsidR="00000000" w:rsidDel="00000000" w:rsidP="00000000" w:rsidRDefault="00000000" w:rsidRPr="00000000" w14:paraId="00000043">
      <w:pPr>
        <w:numPr>
          <w:ilvl w:val="0"/>
          <w:numId w:val="3"/>
        </w:numPr>
        <w:ind w:left="940" w:hanging="360"/>
        <w:rPr/>
      </w:pPr>
      <w:r w:rsidDel="00000000" w:rsidR="00000000" w:rsidRPr="00000000">
        <w:rPr>
          <w:color w:val="222222"/>
          <w:sz w:val="24"/>
          <w:szCs w:val="24"/>
          <w:highlight w:val="white"/>
          <w:rtl w:val="0"/>
        </w:rPr>
        <w:t xml:space="preserve">Resolve media effect issue</w:t>
      </w:r>
    </w:p>
    <w:p w:rsidR="00000000" w:rsidDel="00000000" w:rsidP="00000000" w:rsidRDefault="00000000" w:rsidRPr="00000000" w14:paraId="00000044">
      <w:pPr>
        <w:numPr>
          <w:ilvl w:val="0"/>
          <w:numId w:val="3"/>
        </w:numPr>
        <w:ind w:left="940" w:hanging="360"/>
        <w:rPr/>
      </w:pPr>
      <w:r w:rsidDel="00000000" w:rsidR="00000000" w:rsidRPr="00000000">
        <w:rPr>
          <w:color w:val="222222"/>
          <w:sz w:val="24"/>
          <w:szCs w:val="24"/>
          <w:highlight w:val="white"/>
          <w:rtl w:val="0"/>
        </w:rPr>
        <w:t xml:space="preserve">Store Loan Level Tracking in IQ</w:t>
      </w:r>
    </w:p>
    <w:p w:rsidR="00000000" w:rsidDel="00000000" w:rsidP="00000000" w:rsidRDefault="00000000" w:rsidRPr="00000000" w14:paraId="00000045">
      <w:pPr>
        <w:numPr>
          <w:ilvl w:val="0"/>
          <w:numId w:val="3"/>
        </w:numPr>
        <w:ind w:left="940" w:hanging="360"/>
        <w:rPr/>
      </w:pPr>
      <w:r w:rsidDel="00000000" w:rsidR="00000000" w:rsidRPr="00000000">
        <w:rPr>
          <w:color w:val="222222"/>
          <w:sz w:val="24"/>
          <w:szCs w:val="24"/>
          <w:highlight w:val="white"/>
          <w:rtl w:val="0"/>
        </w:rPr>
        <w:t xml:space="preserve">Complete Symphony Tracking python script refactor</w:t>
      </w:r>
    </w:p>
    <w:p w:rsidR="00000000" w:rsidDel="00000000" w:rsidP="00000000" w:rsidRDefault="00000000" w:rsidRPr="00000000" w14:paraId="00000046">
      <w:pPr>
        <w:numPr>
          <w:ilvl w:val="0"/>
          <w:numId w:val="3"/>
        </w:numPr>
        <w:ind w:left="940" w:hanging="360"/>
        <w:rPr/>
      </w:pPr>
      <w:r w:rsidDel="00000000" w:rsidR="00000000" w:rsidRPr="00000000">
        <w:rPr>
          <w:color w:val="222222"/>
          <w:sz w:val="24"/>
          <w:szCs w:val="24"/>
          <w:highlight w:val="white"/>
          <w:rtl w:val="0"/>
        </w:rPr>
        <w:t xml:space="preserve">Model Improvements: OTM cashout refinances and turnover</w:t>
      </w:r>
    </w:p>
    <w:p w:rsidR="00000000" w:rsidDel="00000000" w:rsidP="00000000" w:rsidRDefault="00000000" w:rsidRPr="00000000" w14:paraId="00000047">
      <w:pPr>
        <w:rPr>
          <w:color w:val="222222"/>
          <w:sz w:val="24"/>
          <w:szCs w:val="24"/>
          <w:highlight w:val="white"/>
        </w:rPr>
      </w:pPr>
      <w:r w:rsidDel="00000000" w:rsidR="00000000" w:rsidRPr="00000000">
        <w:rPr>
          <w:rtl w:val="0"/>
        </w:rPr>
      </w:r>
    </w:p>
    <w:p w:rsidR="00000000" w:rsidDel="00000000" w:rsidP="00000000" w:rsidRDefault="00000000" w:rsidRPr="00000000" w14:paraId="00000048">
      <w:pPr>
        <w:rPr>
          <w:color w:val="222222"/>
          <w:sz w:val="24"/>
          <w:szCs w:val="24"/>
          <w:highlight w:val="white"/>
        </w:rPr>
      </w:pPr>
      <w:r w:rsidDel="00000000" w:rsidR="00000000" w:rsidRPr="00000000">
        <w:rPr>
          <w:b w:val="1"/>
          <w:sz w:val="28"/>
          <w:szCs w:val="28"/>
          <w:rtl w:val="0"/>
        </w:rPr>
        <w:t xml:space="preserve">Glockenspiel (GPL) </w:t>
      </w:r>
      <w:r w:rsidDel="00000000" w:rsidR="00000000" w:rsidRPr="00000000">
        <w:rPr>
          <w:rtl w:val="0"/>
        </w:rPr>
      </w:r>
    </w:p>
    <w:p w:rsidR="00000000" w:rsidDel="00000000" w:rsidP="00000000" w:rsidRDefault="00000000" w:rsidRPr="00000000" w14:paraId="00000049">
      <w:pPr>
        <w:numPr>
          <w:ilvl w:val="0"/>
          <w:numId w:val="3"/>
        </w:numPr>
        <w:ind w:left="940" w:hanging="360"/>
        <w:rPr/>
      </w:pPr>
      <w:r w:rsidDel="00000000" w:rsidR="00000000" w:rsidRPr="00000000">
        <w:rPr>
          <w:color w:val="222222"/>
          <w:sz w:val="24"/>
          <w:szCs w:val="24"/>
          <w:highlight w:val="white"/>
          <w:rtl w:val="0"/>
        </w:rPr>
        <w:t xml:space="preserve">Support CPJ and CPD</w:t>
      </w:r>
    </w:p>
    <w:p w:rsidR="00000000" w:rsidDel="00000000" w:rsidP="00000000" w:rsidRDefault="00000000" w:rsidRPr="00000000" w14:paraId="0000004A">
      <w:pPr>
        <w:numPr>
          <w:ilvl w:val="0"/>
          <w:numId w:val="3"/>
        </w:numPr>
        <w:ind w:left="940" w:hanging="360"/>
        <w:rPr/>
      </w:pPr>
      <w:r w:rsidDel="00000000" w:rsidR="00000000" w:rsidRPr="00000000">
        <w:rPr>
          <w:color w:val="222222"/>
          <w:sz w:val="24"/>
          <w:szCs w:val="24"/>
          <w:highlight w:val="white"/>
          <w:rtl w:val="0"/>
        </w:rPr>
        <w:t xml:space="preserve">Improve Penalty Structure accuracy</w:t>
      </w:r>
    </w:p>
    <w:p w:rsidR="00000000" w:rsidDel="00000000" w:rsidP="00000000" w:rsidRDefault="00000000" w:rsidRPr="00000000" w14:paraId="0000004B">
      <w:pPr>
        <w:numPr>
          <w:ilvl w:val="0"/>
          <w:numId w:val="3"/>
        </w:numPr>
        <w:ind w:left="940" w:hanging="360"/>
        <w:rPr/>
      </w:pPr>
      <w:r w:rsidDel="00000000" w:rsidR="00000000" w:rsidRPr="00000000">
        <w:rPr>
          <w:color w:val="222222"/>
          <w:sz w:val="24"/>
          <w:szCs w:val="24"/>
          <w:highlight w:val="white"/>
          <w:rtl w:val="0"/>
        </w:rPr>
        <w:t xml:space="preserve">Payoff Individual Loans at penalty expiration (?)</w:t>
      </w:r>
    </w:p>
    <w:p w:rsidR="00000000" w:rsidDel="00000000" w:rsidP="00000000" w:rsidRDefault="00000000" w:rsidRPr="00000000" w14:paraId="0000004C">
      <w:pPr>
        <w:rPr>
          <w:color w:val="222222"/>
          <w:sz w:val="24"/>
          <w:szCs w:val="24"/>
          <w:highlight w:val="white"/>
        </w:rPr>
      </w:pPr>
      <w:r w:rsidDel="00000000" w:rsidR="00000000" w:rsidRPr="00000000">
        <w:rPr>
          <w:rtl w:val="0"/>
        </w:rPr>
      </w:r>
    </w:p>
    <w:p w:rsidR="00000000" w:rsidDel="00000000" w:rsidP="00000000" w:rsidRDefault="00000000" w:rsidRPr="00000000" w14:paraId="0000004D">
      <w:pPr>
        <w:rPr>
          <w:color w:val="222222"/>
          <w:sz w:val="24"/>
          <w:szCs w:val="24"/>
          <w:highlight w:val="white"/>
        </w:rPr>
      </w:pPr>
      <w:r w:rsidDel="00000000" w:rsidR="00000000" w:rsidRPr="00000000">
        <w:rPr>
          <w:b w:val="1"/>
          <w:sz w:val="28"/>
          <w:szCs w:val="28"/>
          <w:rtl w:val="0"/>
        </w:rPr>
        <w:t xml:space="preserve">Scale 5.x</w:t>
      </w:r>
      <w:r w:rsidDel="00000000" w:rsidR="00000000" w:rsidRPr="00000000">
        <w:rPr>
          <w:rtl w:val="0"/>
        </w:rPr>
      </w:r>
    </w:p>
    <w:p w:rsidR="00000000" w:rsidDel="00000000" w:rsidP="00000000" w:rsidRDefault="00000000" w:rsidRPr="00000000" w14:paraId="0000004E">
      <w:pPr>
        <w:numPr>
          <w:ilvl w:val="0"/>
          <w:numId w:val="3"/>
        </w:numPr>
        <w:ind w:left="940" w:hanging="360"/>
        <w:rPr/>
      </w:pPr>
      <w:r w:rsidDel="00000000" w:rsidR="00000000" w:rsidRPr="00000000">
        <w:rPr>
          <w:color w:val="222222"/>
          <w:sz w:val="24"/>
          <w:szCs w:val="24"/>
          <w:highlight w:val="white"/>
          <w:rtl w:val="0"/>
        </w:rPr>
        <w:t xml:space="preserve">Speed up performance in distributed mode</w:t>
      </w:r>
    </w:p>
    <w:p w:rsidR="00000000" w:rsidDel="00000000" w:rsidP="00000000" w:rsidRDefault="00000000" w:rsidRPr="00000000" w14:paraId="0000004F">
      <w:pPr>
        <w:numPr>
          <w:ilvl w:val="0"/>
          <w:numId w:val="3"/>
        </w:numPr>
        <w:ind w:left="940" w:hanging="360"/>
        <w:rPr/>
      </w:pPr>
      <w:r w:rsidDel="00000000" w:rsidR="00000000" w:rsidRPr="00000000">
        <w:rPr>
          <w:color w:val="222222"/>
          <w:sz w:val="24"/>
          <w:szCs w:val="24"/>
          <w:highlight w:val="white"/>
          <w:rtl w:val="0"/>
        </w:rPr>
        <w:t xml:space="preserve">Current coupon model</w:t>
      </w:r>
    </w:p>
    <w:p w:rsidR="00000000" w:rsidDel="00000000" w:rsidP="00000000" w:rsidRDefault="00000000" w:rsidRPr="00000000" w14:paraId="00000050">
      <w:pPr>
        <w:numPr>
          <w:ilvl w:val="0"/>
          <w:numId w:val="3"/>
        </w:numPr>
        <w:ind w:left="940" w:hanging="360"/>
        <w:rPr/>
      </w:pPr>
      <w:r w:rsidDel="00000000" w:rsidR="00000000" w:rsidRPr="00000000">
        <w:rPr>
          <w:color w:val="222222"/>
          <w:sz w:val="24"/>
          <w:szCs w:val="24"/>
          <w:highlight w:val="white"/>
          <w:rtl w:val="0"/>
        </w:rPr>
        <w:t xml:space="preserve">Refactor projection algorithm for refinance incentive</w:t>
      </w:r>
    </w:p>
    <w:p w:rsidR="00000000" w:rsidDel="00000000" w:rsidP="00000000" w:rsidRDefault="00000000" w:rsidRPr="00000000" w14:paraId="00000051">
      <w:pPr>
        <w:numPr>
          <w:ilvl w:val="0"/>
          <w:numId w:val="3"/>
        </w:numPr>
        <w:ind w:left="940" w:hanging="360"/>
        <w:rPr/>
      </w:pPr>
      <w:r w:rsidDel="00000000" w:rsidR="00000000" w:rsidRPr="00000000">
        <w:rPr>
          <w:color w:val="222222"/>
          <w:sz w:val="24"/>
          <w:szCs w:val="24"/>
          <w:highlight w:val="white"/>
          <w:rtl w:val="0"/>
        </w:rPr>
        <w:t xml:space="preserve">Backward compatibility(?)</w:t>
      </w:r>
    </w:p>
    <w:p w:rsidR="00000000" w:rsidDel="00000000" w:rsidP="00000000" w:rsidRDefault="00000000" w:rsidRPr="00000000" w14:paraId="00000052">
      <w:pPr>
        <w:rPr>
          <w:color w:val="222222"/>
          <w:sz w:val="24"/>
          <w:szCs w:val="24"/>
          <w:highlight w:val="white"/>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b w:val="1"/>
          <w:sz w:val="28"/>
          <w:szCs w:val="28"/>
          <w:rtl w:val="0"/>
        </w:rPr>
        <w:t xml:space="preserve">Symphony 1.32</w:t>
      </w:r>
      <w:r w:rsidDel="00000000" w:rsidR="00000000" w:rsidRPr="00000000">
        <w:rPr>
          <w:rtl w:val="0"/>
        </w:rPr>
      </w:r>
    </w:p>
    <w:p w:rsidR="00000000" w:rsidDel="00000000" w:rsidP="00000000" w:rsidRDefault="00000000" w:rsidRPr="00000000" w14:paraId="00000054">
      <w:pPr>
        <w:numPr>
          <w:ilvl w:val="0"/>
          <w:numId w:val="3"/>
        </w:numPr>
        <w:ind w:left="940" w:hanging="360"/>
        <w:rPr/>
      </w:pPr>
      <w:r w:rsidDel="00000000" w:rsidR="00000000" w:rsidRPr="00000000">
        <w:rPr>
          <w:color w:val="222222"/>
          <w:sz w:val="24"/>
          <w:szCs w:val="24"/>
          <w:highlight w:val="white"/>
          <w:rtl w:val="0"/>
        </w:rPr>
        <w:t xml:space="preserve">Display curve, current coupon,  mortgage rates for Conventional, GNMA and multi-family</w:t>
      </w:r>
      <w:r w:rsidDel="00000000" w:rsidR="00000000" w:rsidRPr="00000000">
        <w:rPr>
          <w:rtl w:val="0"/>
        </w:rPr>
      </w:r>
    </w:p>
    <w:p w:rsidR="00000000" w:rsidDel="00000000" w:rsidP="00000000" w:rsidRDefault="00000000" w:rsidRPr="00000000" w14:paraId="00000055">
      <w:pPr>
        <w:numPr>
          <w:ilvl w:val="0"/>
          <w:numId w:val="3"/>
        </w:numPr>
        <w:ind w:left="940" w:hanging="360"/>
        <w:rPr/>
      </w:pPr>
      <w:r w:rsidDel="00000000" w:rsidR="00000000" w:rsidRPr="00000000">
        <w:rPr>
          <w:color w:val="222222"/>
          <w:sz w:val="24"/>
          <w:szCs w:val="24"/>
          <w:highlight w:val="white"/>
          <w:rtl w:val="0"/>
        </w:rPr>
        <w:t xml:space="preserve">Display prepay model projection components in charts</w:t>
      </w:r>
    </w:p>
    <w:p w:rsidR="00000000" w:rsidDel="00000000" w:rsidP="00000000" w:rsidRDefault="00000000" w:rsidRPr="00000000" w14:paraId="00000056">
      <w:pPr>
        <w:numPr>
          <w:ilvl w:val="0"/>
          <w:numId w:val="3"/>
        </w:numPr>
        <w:ind w:left="940" w:hanging="360"/>
        <w:rPr/>
      </w:pPr>
      <w:r w:rsidDel="00000000" w:rsidR="00000000" w:rsidRPr="00000000">
        <w:rPr>
          <w:color w:val="222222"/>
          <w:sz w:val="24"/>
          <w:szCs w:val="24"/>
          <w:highlight w:val="white"/>
          <w:rtl w:val="0"/>
        </w:rPr>
        <w:t xml:space="preserve">Matrix PY</w:t>
      </w:r>
    </w:p>
    <w:p w:rsidR="00000000" w:rsidDel="00000000" w:rsidP="00000000" w:rsidRDefault="00000000" w:rsidRPr="00000000" w14:paraId="00000057">
      <w:pPr>
        <w:numPr>
          <w:ilvl w:val="0"/>
          <w:numId w:val="3"/>
        </w:numPr>
        <w:ind w:left="940" w:hanging="360"/>
        <w:rPr/>
      </w:pPr>
      <w:r w:rsidDel="00000000" w:rsidR="00000000" w:rsidRPr="00000000">
        <w:rPr>
          <w:color w:val="222222"/>
          <w:sz w:val="24"/>
          <w:szCs w:val="24"/>
          <w:highlight w:val="white"/>
          <w:rtl w:val="0"/>
        </w:rPr>
        <w:t xml:space="preserve">Scenario Yield</w:t>
      </w:r>
    </w:p>
    <w:p w:rsidR="00000000" w:rsidDel="00000000" w:rsidP="00000000" w:rsidRDefault="00000000" w:rsidRPr="00000000" w14:paraId="00000058">
      <w:pPr>
        <w:numPr>
          <w:ilvl w:val="0"/>
          <w:numId w:val="3"/>
        </w:numPr>
        <w:ind w:left="940" w:hanging="360"/>
        <w:rPr/>
      </w:pPr>
      <w:r w:rsidDel="00000000" w:rsidR="00000000" w:rsidRPr="00000000">
        <w:rPr>
          <w:color w:val="222222"/>
          <w:sz w:val="24"/>
          <w:szCs w:val="24"/>
          <w:highlight w:val="white"/>
          <w:rtl w:val="0"/>
        </w:rPr>
        <w:t xml:space="preserve">Loan level tracking for GNM 2.0</w:t>
      </w:r>
      <w:r w:rsidDel="00000000" w:rsidR="00000000" w:rsidRPr="00000000">
        <w:rPr>
          <w:rtl w:val="0"/>
        </w:rPr>
      </w:r>
    </w:p>
    <w:p w:rsidR="00000000" w:rsidDel="00000000" w:rsidP="00000000" w:rsidRDefault="00000000" w:rsidRPr="00000000" w14:paraId="00000059">
      <w:pPr>
        <w:rPr>
          <w:color w:val="222222"/>
          <w:sz w:val="28"/>
          <w:szCs w:val="28"/>
          <w:highlight w:val="white"/>
        </w:rPr>
      </w:pPr>
      <w:r w:rsidDel="00000000" w:rsidR="00000000" w:rsidRPr="00000000">
        <w:rPr>
          <w:rtl w:val="0"/>
        </w:rPr>
      </w:r>
    </w:p>
    <w:p w:rsidR="00000000" w:rsidDel="00000000" w:rsidP="00000000" w:rsidRDefault="00000000" w:rsidRPr="00000000" w14:paraId="0000005A">
      <w:pPr>
        <w:rPr>
          <w:b w:val="1"/>
          <w:sz w:val="28"/>
          <w:szCs w:val="28"/>
        </w:rPr>
      </w:pPr>
      <w:r w:rsidDel="00000000" w:rsidR="00000000" w:rsidRPr="00000000">
        <w:rPr>
          <w:b w:val="1"/>
          <w:sz w:val="28"/>
          <w:szCs w:val="28"/>
          <w:rtl w:val="0"/>
        </w:rPr>
        <w:t xml:space="preserve">ScaleDB</w:t>
      </w:r>
    </w:p>
    <w:p w:rsidR="00000000" w:rsidDel="00000000" w:rsidP="00000000" w:rsidRDefault="00000000" w:rsidRPr="00000000" w14:paraId="0000005B">
      <w:pPr>
        <w:numPr>
          <w:ilvl w:val="0"/>
          <w:numId w:val="6"/>
        </w:numPr>
        <w:ind w:left="720" w:hanging="360"/>
        <w:rPr>
          <w:color w:val="222222"/>
          <w:sz w:val="28"/>
          <w:szCs w:val="28"/>
          <w:highlight w:val="white"/>
        </w:rPr>
      </w:pPr>
      <w:r w:rsidDel="00000000" w:rsidR="00000000" w:rsidRPr="00000000">
        <w:rPr>
          <w:color w:val="222222"/>
          <w:sz w:val="28"/>
          <w:szCs w:val="28"/>
          <w:highlight w:val="white"/>
          <w:rtl w:val="0"/>
        </w:rPr>
        <w:t xml:space="preserve">Take a fresh look at how data is backfilled across Fannie and Freddie (ScaleDB)</w:t>
      </w:r>
    </w:p>
    <w:p w:rsidR="00000000" w:rsidDel="00000000" w:rsidP="00000000" w:rsidRDefault="00000000" w:rsidRPr="00000000" w14:paraId="0000005C">
      <w:pPr>
        <w:numPr>
          <w:ilvl w:val="0"/>
          <w:numId w:val="6"/>
        </w:numPr>
        <w:ind w:left="720" w:hanging="360"/>
        <w:rPr>
          <w:color w:val="222222"/>
          <w:sz w:val="28"/>
          <w:szCs w:val="28"/>
          <w:highlight w:val="white"/>
        </w:rPr>
      </w:pPr>
      <w:r w:rsidDel="00000000" w:rsidR="00000000" w:rsidRPr="00000000">
        <w:rPr>
          <w:color w:val="222222"/>
          <w:sz w:val="28"/>
          <w:szCs w:val="28"/>
          <w:highlight w:val="white"/>
          <w:rtl w:val="0"/>
        </w:rPr>
        <w:t xml:space="preserve">Improve incentive calculations for Fannie Mae and Freddie Mac</w:t>
      </w:r>
    </w:p>
    <w:p w:rsidR="00000000" w:rsidDel="00000000" w:rsidP="00000000" w:rsidRDefault="00000000" w:rsidRPr="00000000" w14:paraId="0000005D">
      <w:pPr>
        <w:rPr>
          <w:b w:val="1"/>
          <w:sz w:val="28"/>
          <w:szCs w:val="28"/>
        </w:rPr>
      </w:pPr>
      <w:r w:rsidDel="00000000" w:rsidR="00000000" w:rsidRPr="00000000">
        <w:rPr>
          <w:rtl w:val="0"/>
        </w:rPr>
      </w:r>
    </w:p>
    <w:p w:rsidR="00000000" w:rsidDel="00000000" w:rsidP="00000000" w:rsidRDefault="00000000" w:rsidRPr="00000000" w14:paraId="0000005E">
      <w:pPr>
        <w:rPr>
          <w:b w:val="1"/>
          <w:sz w:val="28"/>
          <w:szCs w:val="28"/>
        </w:rPr>
      </w:pPr>
      <w:r w:rsidDel="00000000" w:rsidR="00000000" w:rsidRPr="00000000">
        <w:rPr>
          <w:rtl w:val="0"/>
        </w:rPr>
      </w:r>
    </w:p>
    <w:p w:rsidR="00000000" w:rsidDel="00000000" w:rsidP="00000000" w:rsidRDefault="00000000" w:rsidRPr="00000000" w14:paraId="0000005F">
      <w:pPr>
        <w:rPr>
          <w:color w:val="222222"/>
          <w:sz w:val="28"/>
          <w:szCs w:val="28"/>
          <w:highlight w:val="whit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Calibri"/>
  <w:font w:name="Courier"/>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6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While the GNMA mortgage rate is used as a proxy for the FHA mortgage rate, note that the two concepts are not identical since GNMA pools also contains VA, RHS, and PIH loans. However, a high degree of correlation in the different rate series is likely enforced through the fact that originators use overall GNMA MBS pricing to determine primary mortgage rates.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19"/>
        <w:szCs w:val="19"/>
        <w:highlight w:val="white"/>
        <w:u w:val="none"/>
      </w:rPr>
    </w:lvl>
    <w:lvl w:ilvl="1">
      <w:start w:val="1"/>
      <w:numFmt w:val="bullet"/>
      <w:lvlText w:val="○"/>
      <w:lvlJc w:val="left"/>
      <w:pPr>
        <w:ind w:left="1440" w:hanging="360"/>
      </w:pPr>
      <w:rPr>
        <w:rFonts w:ascii="Arial" w:cs="Arial" w:eastAsia="Arial" w:hAnsi="Arial"/>
        <w:color w:val="222222"/>
        <w:sz w:val="19"/>
        <w:szCs w:val="19"/>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drive.google.com/drive/folders/0B4Dkdqf5GPRaM0N2a2NGU3RzTjA" TargetMode="External"/><Relationship Id="rId10" Type="http://schemas.openxmlformats.org/officeDocument/2006/relationships/hyperlink" Target="https://docs.google.com/document/d/1eTYQ14V5jN0m_iFX2qOZ9HOj0c4u_Mh6O1PybfIHQdo/edit" TargetMode="External"/><Relationship Id="rId12" Type="http://schemas.openxmlformats.org/officeDocument/2006/relationships/hyperlink" Target="https://docs.google.com/document/d/1xmcIx-hCBPdC1zh_fayysSc3Lz5CiRKHEbvA7fccmS4/edit" TargetMode="External"/><Relationship Id="rId9" Type="http://schemas.openxmlformats.org/officeDocument/2006/relationships/hyperlink" Target="https://docs.google.com/document/d/1ZyOYmGjK79ODeEa4UG3sqVf_yc9L2Se8V_xr_syAoiA/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0B4Dkdqf5GPRaT3R4NVpxLWV3RFU" TargetMode="External"/><Relationship Id="rId8" Type="http://schemas.openxmlformats.org/officeDocument/2006/relationships/hyperlink" Target="https://drive.google.com/drive/folders/0B4Dkdqf5GPRaT3R4NVpxLWV3RF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