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Changing Landscape of the Mortgage Market</w:t>
      </w:r>
    </w:p>
    <w:p w:rsidR="00000000" w:rsidDel="00000000" w:rsidP="00000000" w:rsidRDefault="00000000" w:rsidRPr="00000000" w14:paraId="00000002">
      <w:pPr>
        <w:rPr>
          <w:sz w:val="24"/>
          <w:szCs w:val="24"/>
        </w:rPr>
      </w:pPr>
      <w:r w:rsidDel="00000000" w:rsidR="00000000" w:rsidRPr="00000000">
        <w:rPr>
          <w:sz w:val="24"/>
          <w:szCs w:val="24"/>
          <w:rtl w:val="0"/>
        </w:rPr>
        <w:t xml:space="preserve">There has been a significant structural change in the residential mortgage market. Pre-crisis small originators primarily relied on large aggregators to securitize their loans via the GSEs or GNMA. They sold their loans to these large aggregators, who, in turn, pooled these loans into MBS and then sold the MBS to investors via various broker dealers. One of the key motivations for the large aggregators to acquire loans via the correspondent channel was to acquire servicing. U.S. banks played a dominant role as aggregators because they had the balance sheet to hold the servicing assets.</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However, the capital treatment of Mortgage Servicing Rights (MSR) changed significantly under the new BASEL 3 rules for banks. Under the new rules, if the size of the MSR book is more than a certain percentage of the bank balance sheet, banks are required to hold much higher capital against their servicing book. Furthermore, banks also became much more cognizant of the contingent liabilities associated due to representation and warranty risk. As a result, banks started reducing the size of their MSR books and reduced their footprints in the correspondent business and mortgage lending.</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Smaller lenders had to find alternative ways to securitize their loans via GSEs and GNMA. To support small lenders, both the GSEs and GNMA enhanced their offerings to directly cater to these smaller lenders. GSEs’ cash window became the program of choice for these lenders and is now responsible for close to 40% of all conventional fixed rate securitizations. The cash window program effectively fulfills the role of the aggregator, and lenders benefit from fast turnaround in terms of receiving cash for the loans they sell. The cash window program takes care of pipeline hedging for lenders who may lack the infrastructure and reduces the size of the warehouse line of credit that lenders need to run their businesses. Even though GSEs can acquire the loans and securitize them into MBS, they are not allowed to retain servicing. To support lenders who do not have a capacity to retain servicing, GSEs also have flow agreements with some firms who are looking to acquire servicing.</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GNMA does not offer anything similar to a cash window program. However, GNMA supports these small lenders via the G2 program, which has a fairly low threshold for the volumes that need to be securitized to be eligible to participate in a given month. This mechanism frees smaller lenders from worrying about minimum pool size requirements in GN1s and also allows them to get the round lot liquidity despite their small size. Furthermore, the minimum servicing requirements are smaller in the GN2 program (19 bps) relative to GN1 s (44 bps) and the GSEs (25 bps) which reduces the capital needs for aggregators.</w:t>
      </w:r>
    </w:p>
    <w:p w:rsidR="00000000" w:rsidDel="00000000" w:rsidP="00000000" w:rsidRDefault="00000000" w:rsidRPr="00000000" w14:paraId="00000009">
      <w:pPr>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