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Introduction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Jumbo 2.0 MBS issuance was $11bb in 2017 -- but still small compared to the volume of loan issuance which was probably closer to $350bb. The expectation is that issuance will continue to grow and maybe hit $20bb in 2018.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Collateral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Average FICOs in the 760s -- about 30 points higher than before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Same CLTVs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Higher fixed-rate % and lower %IO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Other Differences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Substantial improvement in underwriting standards -- particularly for income verification, asset verification and employment verification. 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Transaction loans also go through a deeper due-diligence process where third parties will: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Credit: evaluate underwriting guidelines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Fraud: review loans to identify possible instances of fraud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Valuation: Review appraisals to ensure they meet industry standards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Compliance: Make sure loans comply with applicable laws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 to now, the DD has gone through loan-by-loan but in the future, sampling will probably be more heavily used. A recent FSMT 2018-1 transaction has 44% of the loans receiving a full DD review and all of the loans going through a compliance review.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Structure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Senior-subordinate structure with a shifting interest mechanism. 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136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