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Additional Market Risk Shocks: Prepayment Uncertainty and OAS (Bogin et al, FHFA Working Paper 15-3)</w:t>
      </w:r>
    </w:p>
    <w:p w:rsidR="00000000" w:rsidDel="00000000" w:rsidP="00000000" w:rsidRDefault="00000000" w:rsidRPr="00000000" w14:paraId="00000002">
      <w:pPr>
        <w:rPr>
          <w:sz w:val="28"/>
          <w:szCs w:val="28"/>
        </w:rPr>
      </w:pPr>
      <w:r w:rsidDel="00000000" w:rsidR="00000000" w:rsidRPr="00000000">
        <w:rPr>
          <w:sz w:val="28"/>
          <w:szCs w:val="28"/>
          <w:rtl w:val="0"/>
        </w:rPr>
        <w:t xml:space="preserve">With access to a sufficient amount of historical model performance data, prepayment model error can be accurately measured and the resulting shocks are well defined. However, this type of adjustment is backward looking and fails to account for potential model advancements, forecasting error, and structural shifts in the consumer lending market (Fabozzi, 1999; Hayre and Rajan, 1995). In contrast, option-adjusted spreads (OAS) serve as a broader and forward-looking measure of model error, which can encompass prepayment model errors due to misspecification as well as errors in forecasting (Babbel and Zenios, 1992). These shocks can be constructed based upon multiple historical vendor quotes, but their principal components are model dependent and vary across market environments.</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To fully account for the risks associated with embedded optionality, we propose to include either prepayment error adjustments or OAS shocks when stress testing. Each type of shock has a distinct set of advantages as well as potential concerns.</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In order to generate prepayment model error adjustments and OAS shocks, which are consistent with simultaneous movements in the term structure of interest rates and implied volatility, we employ an adaption of the linkage methodology developed by Bogin &amp; Doerner (2014).</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It is current best practice among regulators to include shocks to option-adjusted spreads when market risk stress testing, particularly to shock portfolios containing fixed income securities with embedded optionality (e.g., mortgage backed securities, callable debt). For instance, option-adjusted spreads are included as a risk factor in the Global Market Shocks under the Federal Reserve’s Comprehensive Capital Analysis and Review (CCAR).</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Prepayment Rates</w:t>
      </w:r>
    </w:p>
    <w:p w:rsidR="00000000" w:rsidDel="00000000" w:rsidP="00000000" w:rsidRDefault="00000000" w:rsidRPr="00000000" w14:paraId="0000000C">
      <w:pPr>
        <w:rPr>
          <w:sz w:val="28"/>
          <w:szCs w:val="28"/>
        </w:rPr>
      </w:pPr>
      <w:r w:rsidDel="00000000" w:rsidR="00000000" w:rsidRPr="00000000">
        <w:rPr>
          <w:sz w:val="28"/>
          <w:szCs w:val="28"/>
          <w:rtl w:val="0"/>
        </w:rPr>
        <w:t xml:space="preserve">Prepayment models generate projected mortgage security cash flows, which are then discounted to solve for the associated security’s model price. When these model prices diverge from market prices, there are two potential corrections to impose alignment – conditional prepayment rate (CPR) adjustments and OAS adjustments.</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One of the primary risks in projecting cash flows comes from prepayment model error, which can arise from two sources – macroeconomic forecasts that deviate from scenarios actually observed, or out-of-model error, and model misspecification, or in-model error (Borodovsky and Lore, 2000). Because our prepayment shocks will be coupled with simultaneous movements in the term structure of interest rates and implied volatility, which already shift the underlying macroeconomic environment, we focus our attention on in-model error.</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In order to isolate in-model error, model predictions are generated using actual or historically accurate inputs. These model predictions are then compared with realized conditional prepayment rates (CPR). Any deviation of predicted versus realized CPR is due to model misspecification, which can arise for several reasons. First, prepayment realizations are subject to random shocks and therefore model projections will contain purely statistical error even for a fixed economic scenario. Second, as market conditions change, prepayment model performance can deteriorate due to misspecified or omitted dependencies among the included model variables. Third, in-model error can persist even when the model is re-parameterized, particularly if there is insufficient information to determine whether or not structural shifts are temporary or permanent (Hayre and Rajan, 1995; and Burns, 2010).</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After calculating the magnitude of in-model error across several prepayment models and mortgage securities, we generate an initial set of prepayment model error shocks. These are then adjusted based upon scenario specific interest rate changes and portfolio specific loan and prepayment model characteristics. The resulting scenario specific prepayment model error adjustments are well defined, but potentially too narrow in scope to capture the full extent of prepayment error (Hayre and Rajan, 1995). Further, these shocks are backward looking and fail to account for potential model advancements or structural shifts in the consumer lending market (Fabozzi, 1999).</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We begin our analysis of in-model prepayment error by examining the distribution of CPR multipliers across fixed rate mortgages. Model errors above one, which represent under-estimates of actual prepayment speeds, range from 1.16 for 40-year fixed rate mortgages to 1.46 for 10-year fixed rate mortgages. The average median multiplier above one is is 1.25. For multipliers below one, medians range from 0.80 for 20-year fixed rate mortgages to 0.89 for 10-year fixed rate mortgages. The average median multiplier below one is 0.85. Among all fixed rate mortgage types, multipliers above one occur more frequently than multipliers below one.</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The degree of prepayment error is sensitive to curve steepening. We account for this, as well as other interrelationships, by calculating add-ons to the two median multipliers that are consistent with simultaneous movements in the term structure of interest rates and implied volatility.</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Delta Act/Proj(i) = const + level of Act/Proj multiplier(i-H) + WALA(i-H) + Changes in term structure from i-H to i  </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To calculate the add-on associated with each of our interest rate scenarios we use equation (3).  Act/Proj multiplier(i-H) is first set equal to 1.3, our median CPR multiplier associated with under-prediction. For purposes of exposition, changes in the refinance incentive and loan age are drawn from the last three vintages prior to the analysis date. For each vintage, we calculate a predicted six-month change in the associated CPR multiplier. We then take the average across these predictions to arrive at an add-on, or adjustment to the 1.3 median CPR multiplier for each scenario. We repeat this process for the median multiplier associated with over-prediction, 0.8.</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b w:val="1"/>
          <w:sz w:val="28"/>
          <w:szCs w:val="28"/>
        </w:rPr>
      </w:pPr>
      <w:r w:rsidDel="00000000" w:rsidR="00000000" w:rsidRPr="00000000">
        <w:rPr>
          <w:b w:val="1"/>
          <w:sz w:val="28"/>
          <w:szCs w:val="28"/>
          <w:rtl w:val="0"/>
        </w:rPr>
        <w:t xml:space="preserve">Option-adjusted Spreads</w:t>
      </w:r>
    </w:p>
    <w:p w:rsidR="00000000" w:rsidDel="00000000" w:rsidP="00000000" w:rsidRDefault="00000000" w:rsidRPr="00000000" w14:paraId="0000001D">
      <w:pPr>
        <w:rPr>
          <w:sz w:val="28"/>
          <w:szCs w:val="28"/>
        </w:rPr>
      </w:pPr>
      <w:r w:rsidDel="00000000" w:rsidR="00000000" w:rsidRPr="00000000">
        <w:rPr>
          <w:sz w:val="28"/>
          <w:szCs w:val="28"/>
          <w:rtl w:val="0"/>
        </w:rPr>
        <w:t xml:space="preserve">OAS is a constant spread, which is added to the discount rates used to calculate the present value of a mortgage security’s projected cash flows. It is used to equilibrate market quotes and model derived prices and encompasses model misspecification, forecasting errors, and liquidity risk and credit risk, where applicable (Levin and Davidson, 2005 and 2008). OAS serves as a broad measure of model error; however, its principal components are model dependent and vary across market environments (Heidari and Wu, 2004). It encompasses prepayment model errors due to misspecification, as well as errors in forecasting the factors influencing cash flows and their associated discount rates (Babbel and Zenios, 1992).</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Changes in several types of macroeconomic factors, including the term structure of interest rates, can shift market expectations and mortgage security prices before they are fully incorporated into prepayment models through recalibration or tuning parameter adjustments (Kopprasch, 1994). These unexpected changes can lead to an increase in OAS, which decreases the value of the associated mortgage assets.</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There is a strong empirical relationship between a mortgage securityfs OAS and interest rates (Heidari and Wu, 2004). All else constant, a mortgage security’s OAS will widen when interest rates fall because investors faced with a greater probability of borrowers exercising their prepayment options require a higher premium for taking the prepayment risk. Conversely, OAS will tighten when interest rates rise because investors faced with a lower probability of borrowers exercising their prepayment options require a smaller premium for taking the prepayment risk (Green and Shoven, 1983). This response can also be thought of in mechanical terms. Assume a mortgage model’s pricing error remains fixed at</w:t>
      </w:r>
      <w:r w:rsidDel="00000000" w:rsidR="00000000" w:rsidRPr="00000000">
        <w:rPr>
          <w:i w:val="1"/>
          <w:sz w:val="28"/>
          <w:szCs w:val="28"/>
          <w:rtl w:val="0"/>
        </w:rPr>
        <w:t xml:space="preserve"> eta</w:t>
      </w:r>
      <w:r w:rsidDel="00000000" w:rsidR="00000000" w:rsidRPr="00000000">
        <w:rPr>
          <w:sz w:val="28"/>
          <w:szCs w:val="28"/>
          <w:rtl w:val="0"/>
        </w:rPr>
        <w:t xml:space="preserve"> across interest rate environments. As rates increase, mortgage prepayments slow and Macaulay duration, or the security’s weighted average term to maturity, increases. Because a given OAS has a greater effect on the present value of distant cash flows, a narrower spread is required to eliminate </w:t>
      </w:r>
      <w:r w:rsidDel="00000000" w:rsidR="00000000" w:rsidRPr="00000000">
        <w:rPr>
          <w:i w:val="1"/>
          <w:sz w:val="28"/>
          <w:szCs w:val="28"/>
          <w:rtl w:val="0"/>
        </w:rPr>
        <w:t xml:space="preserve">eta.</w:t>
      </w:r>
      <w:r w:rsidDel="00000000" w:rsidR="00000000" w:rsidRPr="00000000">
        <w:rPr>
          <w:sz w:val="28"/>
          <w:szCs w:val="28"/>
          <w:rtl w:val="0"/>
        </w:rPr>
        <w:t xml:space="preserve"> Alternatively, as interest rates decrease, prepayments accelerate and Macaulay duration decreases. This leads to fewer distant cash flows, and a wider spread required to eliminate </w:t>
      </w:r>
      <w:r w:rsidDel="00000000" w:rsidR="00000000" w:rsidRPr="00000000">
        <w:rPr>
          <w:i w:val="1"/>
          <w:sz w:val="28"/>
          <w:szCs w:val="28"/>
          <w:rtl w:val="0"/>
        </w:rPr>
        <w:t xml:space="preserve">eta </w:t>
      </w:r>
      <w:r w:rsidDel="00000000" w:rsidR="00000000" w:rsidRPr="00000000">
        <w:rPr>
          <w:sz w:val="28"/>
          <w:szCs w:val="28"/>
          <w:rtl w:val="0"/>
        </w:rPr>
        <w:t xml:space="preserve">(Kupiec and Kah, 1999).</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color w:val="ff0000"/>
          <w:sz w:val="28"/>
          <w:szCs w:val="28"/>
        </w:rPr>
      </w:pPr>
      <w:r w:rsidDel="00000000" w:rsidR="00000000" w:rsidRPr="00000000">
        <w:rPr>
          <w:color w:val="ff0000"/>
          <w:sz w:val="28"/>
          <w:szCs w:val="28"/>
          <w:rtl w:val="0"/>
        </w:rPr>
        <w:t xml:space="preserve">The paper seems geared towards modeling the evolution of prepayment model error and OAS shocks in scenario analysis. The question is whether this is really better than historical simulation. There’s probably no definitive answer so this just represents a complementary way to view risk.</w:t>
      </w:r>
    </w:p>
    <w:p w:rsidR="00000000" w:rsidDel="00000000" w:rsidP="00000000" w:rsidRDefault="00000000" w:rsidRPr="00000000" w14:paraId="00000024">
      <w:pPr>
        <w:rPr>
          <w:color w:val="ff0000"/>
          <w:sz w:val="28"/>
          <w:szCs w:val="28"/>
        </w:rPr>
      </w:pPr>
      <w:r w:rsidDel="00000000" w:rsidR="00000000" w:rsidRPr="00000000">
        <w:rPr>
          <w:rtl w:val="0"/>
        </w:rPr>
      </w:r>
    </w:p>
    <w:p w:rsidR="00000000" w:rsidDel="00000000" w:rsidP="00000000" w:rsidRDefault="00000000" w:rsidRPr="00000000" w14:paraId="00000025">
      <w:pPr>
        <w:rPr>
          <w:b w:val="1"/>
          <w:sz w:val="28"/>
          <w:szCs w:val="28"/>
        </w:rPr>
      </w:pPr>
      <w:r w:rsidDel="00000000" w:rsidR="00000000" w:rsidRPr="00000000">
        <w:rPr>
          <w:b w:val="1"/>
          <w:sz w:val="28"/>
          <w:szCs w:val="28"/>
          <w:rtl w:val="0"/>
        </w:rPr>
        <w:t xml:space="preserve">Implied Prepayments (Oren Cheyette, Journal of Portfolio Management, 23, 1, Fall 1996)</w:t>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The application of option theoretic pricing techniques (e.g., using Monte Carlo methods) to mortgage backed securities (MBS) has long presented some puzzles. First, option adjusted spreads (OASs) of mortgage strips (IOs and POs) are generally large in magnitude and very different from OASs calculated for corresponding passthroughs. Second, OASs vary from one mortgage coupon to the next, even though they are all exposed to the same credit risk. Third, OASs of MBS tend to be much larger than spreads of agency debt, although again the credit exposure is the same. It is hard to</w:t>
      </w:r>
    </w:p>
    <w:p w:rsidR="00000000" w:rsidDel="00000000" w:rsidP="00000000" w:rsidRDefault="00000000" w:rsidRPr="00000000" w14:paraId="00000028">
      <w:pPr>
        <w:rPr>
          <w:sz w:val="28"/>
          <w:szCs w:val="28"/>
        </w:rPr>
      </w:pPr>
      <w:r w:rsidDel="00000000" w:rsidR="00000000" w:rsidRPr="00000000">
        <w:rPr>
          <w:sz w:val="28"/>
          <w:szCs w:val="28"/>
          <w:rtl w:val="0"/>
        </w:rPr>
        <w:t xml:space="preserve">imagine that liquidity could account for the difference (indeed, one might argue that mortgage liquidity is greater than agency debt liquidity). The question for practitioners is: given these anomalies and their consequences, what value can be placed on calculations based on these techniques. For example, the inconsistency of strip and passthrough OASs</w:t>
      </w:r>
    </w:p>
    <w:p w:rsidR="00000000" w:rsidDel="00000000" w:rsidP="00000000" w:rsidRDefault="00000000" w:rsidRPr="00000000" w14:paraId="00000029">
      <w:pPr>
        <w:rPr>
          <w:sz w:val="28"/>
          <w:szCs w:val="28"/>
        </w:rPr>
      </w:pPr>
      <w:r w:rsidDel="00000000" w:rsidR="00000000" w:rsidRPr="00000000">
        <w:rPr>
          <w:sz w:val="28"/>
          <w:szCs w:val="28"/>
          <w:rtl w:val="0"/>
        </w:rPr>
        <w:t xml:space="preserve">implies that the calculated effective duration estimates can’t be correct for all three: the IO + PO combination which replicates a passthrough will have a different effective duration than the passthrough, because the PO will be overweighted and the IO underweighted relative to the corresponding passthrough cashflows (assuming the PO OAS is negative and the IO OAS is very large, as is usually the case).</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I will argue in this paper that these anomalies arise as a result of improper use of econometric prepayment models in conjunction with option theoretic valuation techniques. By “econometric prepayment model” I mean a model estimated using realized historical prepayments, presumably by means of a statistical fitting technique. This is how models at most, and perhaps all Wall St. firms and analytics vendors such as BARRA are developed. Such a model could also include forward looking information, such as Advanced Factor Service projections or MBA refi indices. The critical issue here is that such models do not use current MBS price information. Their use for comparative valuation and risk estimation, as opposed to simply forecasting cashflows, ignores a fundamental principle of finance, namely that investors must be paid to bear risk: the cashflow forecasts from these models are imperfect, and the risk from this uncertainty is not priced by standard option-theoretic valuation methods.</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The alternative presented here is to model mortgages analogously to how we model Treasury and corporate bonds, namely, by using market prices of liquid MBS to calibrate our prepayment model to market prepayment expectations and the market price of prepayment risk, rather than by attempting to forecast actual prepayments and ignoring the market pricing of prepayment risk. This price-calibrated model is the implied prepayment model.</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The standard techniques for valuation of fixed income securities are, implicitly or explicitly, applications of a risk neutral valuation principle. In most cases, this application is well founded. While the requirement of compensation for risk is not made explicit, as in the original Black-Scholes derivation it is implicit in the pricing of assets that are inputs to the valuation model. Examples of these techniques are (1) using the spot rate curve derived from Treasury prices for discount rate calculations, (2) using a</w:t>
      </w:r>
    </w:p>
    <w:p w:rsidR="00000000" w:rsidDel="00000000" w:rsidP="00000000" w:rsidRDefault="00000000" w:rsidRPr="00000000" w14:paraId="00000030">
      <w:pPr>
        <w:rPr>
          <w:sz w:val="28"/>
          <w:szCs w:val="28"/>
        </w:rPr>
      </w:pPr>
      <w:r w:rsidDel="00000000" w:rsidR="00000000" w:rsidRPr="00000000">
        <w:rPr>
          <w:sz w:val="28"/>
          <w:szCs w:val="28"/>
          <w:rtl w:val="0"/>
        </w:rPr>
        <w:t xml:space="preserve">corporate sector spread curve in conjunction with the Treasury spot curve to discount straight bond cashflows, and (3) valuation of corporate bonds with embedded options using (1) and (2) combined with an interest rate option model. The operating principle in each case is to use a no-arbitrage argument to get from easily observed prices for simple assets exposed to market risks to fair values for complex assets exposed to the same risks.</w:t>
      </w:r>
    </w:p>
    <w:p w:rsidR="00000000" w:rsidDel="00000000" w:rsidP="00000000" w:rsidRDefault="00000000" w:rsidRPr="00000000" w14:paraId="00000031">
      <w:pPr>
        <w:rPr>
          <w:sz w:val="28"/>
          <w:szCs w:val="28"/>
        </w:rPr>
      </w:pPr>
      <w:r w:rsidDel="00000000" w:rsidR="00000000" w:rsidRPr="00000000">
        <w:rPr>
          <w:sz w:val="28"/>
          <w:szCs w:val="28"/>
          <w:rtl w:val="0"/>
        </w:rPr>
        <w:t xml:space="preserve">The easiest way to do this mathematically is to use a risk neutral framework, but this is only a convenience (though a major one). As with the Black-Scholes approach, by using prices for assets exposed to the market risks to calibrate the parameters of the model, we avoid the need to estimate the market pricing of the risk factors and to forecast the</w:t>
      </w:r>
    </w:p>
    <w:p w:rsidR="00000000" w:rsidDel="00000000" w:rsidP="00000000" w:rsidRDefault="00000000" w:rsidRPr="00000000" w14:paraId="00000032">
      <w:pPr>
        <w:rPr>
          <w:sz w:val="28"/>
          <w:szCs w:val="28"/>
        </w:rPr>
      </w:pPr>
      <w:r w:rsidDel="00000000" w:rsidR="00000000" w:rsidRPr="00000000">
        <w:rPr>
          <w:sz w:val="28"/>
          <w:szCs w:val="28"/>
          <w:rtl w:val="0"/>
        </w:rPr>
        <w:t xml:space="preserve">changes in those factors. The risk neutral framework provides a particularly simple and convenient technique for model construction and calibration.</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