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Fannie Mae has recently securitized large blocks of pools of modified step-rate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collateral, which have started to appear in the market. As a quick refresher, these 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loans that were repurchased out of agency pools and then modified to a very low loan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rate (typically 2%) for an initial five years. After the first five years, the loan rate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steps up by 1% a year, until reaching the prevailing mortgage rate at the time of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modification. Fannie Mae has communicated that they will securitize these types of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loans only after all the rate steps are completed. These are pooled into U3 (30yr term)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and U4 (40yr term) pool types. On the other hand, Freddie Mac has issued pools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backed by similar step collateral prior to the final step. In order to form our views 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prepayments and defaults, we can draw on the experience of these Gold pools as well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as the one-time data release from Fannie Mae showing modified pool performance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up until March 2016.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It’s useful to understand how this type of collateral behaves, since the $2.5bn pooled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thus far is only a small fraction of the $33bn in step-rate mods held by Fannie Mae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(as of March 2016). Roughly half of these loans should have finished stepping in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2017, with the other half scheduled to finish mostly in 2018, so issuance in U3s and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U4s could jump this year (Exhibit 8). In the below sections, we review prepayment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performance and expectations, as well as valuations for these pools.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