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One definition of alpha is outperforming a benchmark. However, another benchmark is the fulfilment of investor needs, net of fees, over the long term. Therefore, investors and the investment management industry could begin to redefine benchmarks over time, to better reflect investors’ actual financial requirements.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color w:val="ff0000"/>
          <w:sz w:val="24"/>
          <w:szCs w:val="24"/>
        </w:rPr>
      </w:pPr>
      <w:r w:rsidDel="00000000" w:rsidR="00000000" w:rsidRPr="00000000">
        <w:rPr>
          <w:color w:val="ff0000"/>
          <w:sz w:val="24"/>
          <w:szCs w:val="24"/>
          <w:rtl w:val="0"/>
        </w:rPr>
        <w:t xml:space="preserve">TODO: Ask our external investors what their financial goals and benchmarks are, along with what risk appetite they have.</w:t>
      </w:r>
    </w:p>
    <w:p w:rsidR="00000000" w:rsidDel="00000000" w:rsidP="00000000" w:rsidRDefault="00000000" w:rsidRPr="00000000" w14:paraId="00000006">
      <w:pPr>
        <w:rPr>
          <w:color w:val="ff0000"/>
          <w:sz w:val="24"/>
          <w:szCs w:val="24"/>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The Models for Success are Broken</w:t>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investment industry is devoted to producing alpha for investors -- it spends more than 60% of its capital on the pursuit of alpha, which is handsomely rewarded if delivered. Survey investors say they are, on average, willing to pay 19 cents for every dollar of outperformance.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However, true alpha is becoming harder and harder to produce for two reasons -- information efficiency and competition. The ability to have an information “edge” has eroded, and with it the arbitrage and mispricing opportunities that made alpha attainable in the past. The second factor inhibiting alpha production is the increased expertise of investment professionals -- absolute skill has gone up but the standard deviation of skill has gone down.</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Only 53% of individual investors believe that alpha is primarily based on skill. Even fewer investment professionals (42%) believe skill is the primary driver of outperformance. Despite the overwhelming evidence that alpha is increasingly difficult to obtain, the investment management industry continues to hold alpha as its primary measure of success -- to its peril.</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Institutional and retail investors require more from their investment providers than just asset allocation and security selection. They need help creating a meaningful, goal-related strategy and they help understanding what success in achieving this strategy looks like. Perhaps most importantly, they require guidance when it comes to sticking to this strategy over time.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Investors framing their goals should keep an eye on four key components: alpha seeking/beta generation, downside protection, liability management and income management.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Only the first two components are market related, the next two are closely related to investors’ specific needs.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However, instead of taking this holistic approach, investment professionals and investors are in many cases fixated only on alpha, which they are struggling to achieve. Without success on both dimensions (delivering value to alpha and delivering value to long-term results), the industry faces a new crisis -- one of faith. A deep distrust of the industry spurs dissatisfaction which ultimately leads to disintermediation (investors believe that they can do the job of investment professionals better, and for less). The disintermediation takes place in asset classes such as private markets and cash, in substitute products like index funds and ETFs and most profoundly, through the insourcing of asset management.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Financial services is the least trusted industry.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Why is there a failure to achieve true success? Because of the pervasive influence of folklore.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Folklore Dominates Decision-Making</w:t>
      </w:r>
    </w:p>
    <w:p w:rsidR="00000000" w:rsidDel="00000000" w:rsidP="00000000" w:rsidRDefault="00000000" w:rsidRPr="00000000" w14:paraId="0000001C">
      <w:pPr>
        <w:rPr>
          <w:b w:val="1"/>
          <w:sz w:val="28"/>
          <w:szCs w:val="28"/>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Folklore of Time: Investment professionals and investors rely heavily on analyst forecasts and on past performance when making investment decisions. Another example is short-term focus -- generally easier to measure and incent in the short-term. 50% of institutional investors and intermediaries use a timeframe of one to three years to assess the performance of providers.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sz w:val="28"/>
          <w:szCs w:val="28"/>
        </w:rPr>
      </w:pPr>
      <w:r w:rsidDel="00000000" w:rsidR="00000000" w:rsidRPr="00000000">
        <w:rPr>
          <w:b w:val="1"/>
          <w:sz w:val="28"/>
          <w:szCs w:val="28"/>
          <w:rtl w:val="0"/>
        </w:rPr>
        <w:t xml:space="preserve">Breaking the Cycle: Toward a New Folklore</w:t>
      </w:r>
    </w:p>
    <w:p w:rsidR="00000000" w:rsidDel="00000000" w:rsidP="00000000" w:rsidRDefault="00000000" w:rsidRPr="00000000" w14:paraId="00000020">
      <w:pPr>
        <w:rPr>
          <w:b w:val="1"/>
          <w:sz w:val="28"/>
          <w:szCs w:val="28"/>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Very short-term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Use challenge mechanism: challenge broadly accepted opinions (nominate a devil’s advocate)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Keep records of decisions: Utilize tools such as decision diaries and investment policy statements to keep accurate track of past choices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Use behaviorally modified asset allocation: Incorporate clients’ psychological tendencies into the asset allocation process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b w:val="1"/>
          <w:sz w:val="24"/>
          <w:szCs w:val="24"/>
          <w:rtl w:val="0"/>
        </w:rPr>
        <w:t xml:space="preserve">Medium term</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sz w:val="24"/>
          <w:szCs w:val="24"/>
          <w:rtl w:val="0"/>
        </w:rPr>
        <w:t xml:space="preserve">Establish effective feedback loop</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Beware of behavioral biases: Adopt a system of regular self-assessment for cognitive and emotional biases (i.e., a diagnostic tool)</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Incorporate client segmentation: Use advanced analytics to gain deeper insights into client behavior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Increase active share: Increase the share of portfolio holdings that differ from a portfolio’s benchmark index</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Integrate trading discipline: Create rules to instigate buying, sizing and selling decisions. For example, a manager might make a rule that a holding has to be reviewed if it underperforms by a given amount, or if it has been in the portfolio for a given amount of time.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Recruit for emotional quotient (EQ)</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Offer a manageable number of investment options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Draw comparisons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Use checklists to test each investment decision against the intended investment process. The point of an investment process is to create repeatability. This will only occur if the process is applied to every investment-related decision.</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sz w:val="24"/>
          <w:szCs w:val="24"/>
        </w:rPr>
      </w:pPr>
      <w:r w:rsidDel="00000000" w:rsidR="00000000" w:rsidRPr="00000000">
        <w:rPr>
          <w:b w:val="1"/>
          <w:sz w:val="24"/>
          <w:szCs w:val="24"/>
          <w:rtl w:val="0"/>
        </w:rPr>
        <w:t xml:space="preserve">Long term</w:t>
      </w:r>
    </w:p>
    <w:p w:rsidR="00000000" w:rsidDel="00000000" w:rsidP="00000000" w:rsidRDefault="00000000" w:rsidRPr="00000000" w14:paraId="00000032">
      <w:pPr>
        <w:numPr>
          <w:ilvl w:val="0"/>
          <w:numId w:val="1"/>
        </w:numPr>
        <w:ind w:left="720" w:hanging="360"/>
        <w:rPr>
          <w:sz w:val="24"/>
          <w:szCs w:val="24"/>
        </w:rPr>
      </w:pPr>
      <w:r w:rsidDel="00000000" w:rsidR="00000000" w:rsidRPr="00000000">
        <w:rPr>
          <w:sz w:val="24"/>
          <w:szCs w:val="24"/>
          <w:rtl w:val="0"/>
        </w:rPr>
        <w:t xml:space="preserve">Revise incentive structure</w:t>
      </w:r>
    </w:p>
    <w:p w:rsidR="00000000" w:rsidDel="00000000" w:rsidP="00000000" w:rsidRDefault="00000000" w:rsidRPr="00000000" w14:paraId="00000033">
      <w:pPr>
        <w:numPr>
          <w:ilvl w:val="0"/>
          <w:numId w:val="1"/>
        </w:numPr>
        <w:ind w:left="720" w:hanging="360"/>
        <w:rPr>
          <w:sz w:val="24"/>
          <w:szCs w:val="24"/>
        </w:rPr>
      </w:pPr>
      <w:r w:rsidDel="00000000" w:rsidR="00000000" w:rsidRPr="00000000">
        <w:rPr>
          <w:sz w:val="24"/>
          <w:szCs w:val="24"/>
          <w:rtl w:val="0"/>
        </w:rPr>
        <w:t xml:space="preserve">Measure risk in multiple ways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Deliver personalized performance -- alpha/beta generation, downside protection, income and liability management.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Foster financial literacy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Improve internal culture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