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676767"/>
          <w:sz w:val="28"/>
          <w:szCs w:val="28"/>
          <w:highlight w:val="white"/>
        </w:rPr>
      </w:pPr>
      <w:r w:rsidDel="00000000" w:rsidR="00000000" w:rsidRPr="00000000">
        <w:rPr>
          <w:b w:val="1"/>
          <w:color w:val="676767"/>
          <w:sz w:val="28"/>
          <w:szCs w:val="28"/>
          <w:highlight w:val="white"/>
          <w:rtl w:val="0"/>
        </w:rPr>
        <w:t xml:space="preserve">October 20th, 2016: GNMA Releases APM 16-05</w:t>
      </w:r>
    </w:p>
    <w:p w:rsidR="00000000" w:rsidDel="00000000" w:rsidP="00000000" w:rsidRDefault="00000000" w:rsidRPr="00000000" w14:paraId="00000002">
      <w:pPr>
        <w:rPr>
          <w:color w:val="676767"/>
          <w:sz w:val="28"/>
          <w:szCs w:val="28"/>
          <w:highlight w:val="white"/>
        </w:rPr>
      </w:pPr>
      <w:r w:rsidDel="00000000" w:rsidR="00000000" w:rsidRPr="00000000">
        <w:rPr>
          <w:color w:val="676767"/>
          <w:sz w:val="28"/>
          <w:szCs w:val="28"/>
          <w:highlight w:val="white"/>
          <w:rtl w:val="0"/>
        </w:rPr>
        <w:t xml:space="preserve">There has been a pattern of abnormal prepayment activity across newer-production GNMA pools, especially for Veterans Administration (VA) loans in higher coupons. </w:t>
      </w:r>
    </w:p>
    <w:p w:rsidR="00000000" w:rsidDel="00000000" w:rsidP="00000000" w:rsidRDefault="00000000" w:rsidRPr="00000000" w14:paraId="00000003">
      <w:pPr>
        <w:rPr>
          <w:color w:val="676767"/>
          <w:sz w:val="28"/>
          <w:szCs w:val="28"/>
          <w:highlight w:val="white"/>
        </w:rPr>
      </w:pPr>
      <w:r w:rsidDel="00000000" w:rsidR="00000000" w:rsidRPr="00000000">
        <w:rPr>
          <w:rtl w:val="0"/>
        </w:rPr>
      </w:r>
    </w:p>
    <w:p w:rsidR="00000000" w:rsidDel="00000000" w:rsidP="00000000" w:rsidRDefault="00000000" w:rsidRPr="00000000" w14:paraId="00000004">
      <w:pPr>
        <w:rPr>
          <w:color w:val="676767"/>
          <w:sz w:val="28"/>
          <w:szCs w:val="28"/>
          <w:highlight w:val="white"/>
        </w:rPr>
      </w:pPr>
      <w:r w:rsidDel="00000000" w:rsidR="00000000" w:rsidRPr="00000000">
        <w:rPr>
          <w:color w:val="676767"/>
          <w:sz w:val="28"/>
          <w:szCs w:val="28"/>
          <w:highlight w:val="white"/>
          <w:rtl w:val="0"/>
        </w:rPr>
        <w:t xml:space="preserve">On Oct. 19, 2016, GNMA addressed these concerns and released a notice outlining pooling eligibility for streamlined refinance loans in an attempt to reduce outlier refinance trends by adding a requirement for GNMA I single-issuer and GNMA II multi-issuer pools (MIPs) such that:</w:t>
      </w:r>
    </w:p>
    <w:p w:rsidR="00000000" w:rsidDel="00000000" w:rsidP="00000000" w:rsidRDefault="00000000" w:rsidRPr="00000000" w14:paraId="00000005">
      <w:pPr>
        <w:numPr>
          <w:ilvl w:val="0"/>
          <w:numId w:val="3"/>
        </w:numPr>
        <w:ind w:left="720" w:hanging="360"/>
        <w:rPr>
          <w:color w:val="676767"/>
          <w:sz w:val="28"/>
          <w:szCs w:val="28"/>
          <w:highlight w:val="white"/>
          <w:u w:val="none"/>
        </w:rPr>
      </w:pPr>
      <w:r w:rsidDel="00000000" w:rsidR="00000000" w:rsidRPr="00000000">
        <w:rPr>
          <w:color w:val="676767"/>
          <w:sz w:val="28"/>
          <w:szCs w:val="28"/>
          <w:highlight w:val="white"/>
          <w:rtl w:val="0"/>
        </w:rPr>
        <w:t xml:space="preserve">Effective with pool issuances on or after </w:t>
      </w:r>
      <w:r w:rsidDel="00000000" w:rsidR="00000000" w:rsidRPr="00000000">
        <w:rPr>
          <w:b w:val="1"/>
          <w:color w:val="676767"/>
          <w:sz w:val="28"/>
          <w:szCs w:val="28"/>
          <w:highlight w:val="white"/>
          <w:rtl w:val="0"/>
        </w:rPr>
        <w:t xml:space="preserve">Feb. 1, 2017</w:t>
      </w:r>
      <w:r w:rsidDel="00000000" w:rsidR="00000000" w:rsidRPr="00000000">
        <w:rPr>
          <w:color w:val="676767"/>
          <w:sz w:val="28"/>
          <w:szCs w:val="28"/>
          <w:highlight w:val="white"/>
          <w:rtl w:val="0"/>
        </w:rPr>
        <w:t xml:space="preserve">, streamline refinance loans may be delivered into Ginnie Mae I single-issuer pools or Ginnie Mae II MIPs only if, at the time of the refinance, </w:t>
      </w:r>
      <w:r w:rsidDel="00000000" w:rsidR="00000000" w:rsidRPr="00000000">
        <w:rPr>
          <w:i w:val="1"/>
          <w:color w:val="676767"/>
          <w:sz w:val="28"/>
          <w:szCs w:val="28"/>
          <w:highlight w:val="white"/>
          <w:rtl w:val="0"/>
        </w:rPr>
        <w:t xml:space="preserve">at least six consecutive monthly payments have been made on the existing loan</w:t>
      </w:r>
      <w:r w:rsidDel="00000000" w:rsidR="00000000" w:rsidRPr="00000000">
        <w:rPr>
          <w:color w:val="676767"/>
          <w:sz w:val="28"/>
          <w:szCs w:val="28"/>
          <w:highlight w:val="white"/>
          <w:rtl w:val="0"/>
        </w:rPr>
        <w:t xml:space="preserve">.</w:t>
      </w:r>
    </w:p>
    <w:p w:rsidR="00000000" w:rsidDel="00000000" w:rsidP="00000000" w:rsidRDefault="00000000" w:rsidRPr="00000000" w14:paraId="00000006">
      <w:pPr>
        <w:numPr>
          <w:ilvl w:val="0"/>
          <w:numId w:val="3"/>
        </w:numPr>
        <w:ind w:left="720" w:hanging="360"/>
        <w:rPr>
          <w:color w:val="676767"/>
          <w:sz w:val="28"/>
          <w:szCs w:val="28"/>
          <w:highlight w:val="white"/>
          <w:u w:val="none"/>
        </w:rPr>
      </w:pPr>
      <w:r w:rsidDel="00000000" w:rsidR="00000000" w:rsidRPr="00000000">
        <w:rPr>
          <w:color w:val="676767"/>
          <w:sz w:val="28"/>
          <w:szCs w:val="28"/>
          <w:highlight w:val="white"/>
          <w:rtl w:val="0"/>
        </w:rPr>
        <w:t xml:space="preserve">Streamline refinances of loans on which fewer than six consecutive monthly payments have been made may only be delivered into Ginnie Mae II custom MBS pools. </w:t>
      </w:r>
    </w:p>
    <w:p w:rsidR="00000000" w:rsidDel="00000000" w:rsidP="00000000" w:rsidRDefault="00000000" w:rsidRPr="00000000" w14:paraId="00000007">
      <w:pPr>
        <w:rPr>
          <w:color w:val="676767"/>
          <w:sz w:val="28"/>
          <w:szCs w:val="28"/>
          <w:highlight w:val="white"/>
        </w:rPr>
      </w:pPr>
      <w:r w:rsidDel="00000000" w:rsidR="00000000" w:rsidRPr="00000000">
        <w:rPr>
          <w:rtl w:val="0"/>
        </w:rPr>
      </w:r>
    </w:p>
    <w:p w:rsidR="00000000" w:rsidDel="00000000" w:rsidP="00000000" w:rsidRDefault="00000000" w:rsidRPr="00000000" w14:paraId="00000008">
      <w:pPr>
        <w:rPr>
          <w:color w:val="676767"/>
          <w:sz w:val="28"/>
          <w:szCs w:val="28"/>
          <w:highlight w:val="white"/>
        </w:rPr>
      </w:pPr>
      <w:r w:rsidDel="00000000" w:rsidR="00000000" w:rsidRPr="00000000">
        <w:rPr>
          <w:color w:val="676767"/>
          <w:sz w:val="28"/>
          <w:szCs w:val="28"/>
          <w:highlight w:val="white"/>
          <w:rtl w:val="0"/>
        </w:rPr>
        <w:t xml:space="preserve">Super-high prepayment speeds of 90% CPR two months out pointed toward a two-step refinancing from some lenders. The new constraint introduces more risk for borrowers where they may offer a higher rate to borrowers initially and then refinance them quickly right after closing their first mortgage.</w:t>
      </w:r>
    </w:p>
    <w:p w:rsidR="00000000" w:rsidDel="00000000" w:rsidP="00000000" w:rsidRDefault="00000000" w:rsidRPr="00000000" w14:paraId="00000009">
      <w:pPr>
        <w:rPr>
          <w:color w:val="676767"/>
          <w:sz w:val="28"/>
          <w:szCs w:val="28"/>
          <w:highlight w:val="white"/>
        </w:rPr>
      </w:pPr>
      <w:r w:rsidDel="00000000" w:rsidR="00000000" w:rsidRPr="00000000">
        <w:rPr>
          <w:rtl w:val="0"/>
        </w:rPr>
      </w:r>
    </w:p>
    <w:p w:rsidR="00000000" w:rsidDel="00000000" w:rsidP="00000000" w:rsidRDefault="00000000" w:rsidRPr="00000000" w14:paraId="0000000A">
      <w:pPr>
        <w:rPr>
          <w:color w:val="676767"/>
          <w:sz w:val="28"/>
          <w:szCs w:val="28"/>
          <w:highlight w:val="white"/>
        </w:rPr>
      </w:pPr>
      <w:r w:rsidDel="00000000" w:rsidR="00000000" w:rsidRPr="00000000">
        <w:rPr>
          <w:color w:val="676767"/>
          <w:sz w:val="28"/>
          <w:szCs w:val="28"/>
          <w:highlight w:val="white"/>
          <w:rtl w:val="0"/>
        </w:rPr>
        <w:t xml:space="preserve">The policy should affect VA loans more than FHA loans in the form of VA seasoning ramps being much flatter than they currently are, effectively converging with FHA seasoning ramps, at least for the first six months. It should not affect FHA ramps much as FHA already has a policy similar to this already.</w:t>
      </w:r>
    </w:p>
    <w:p w:rsidR="00000000" w:rsidDel="00000000" w:rsidP="00000000" w:rsidRDefault="00000000" w:rsidRPr="00000000" w14:paraId="0000000B">
      <w:pPr>
        <w:rPr>
          <w:color w:val="676767"/>
          <w:sz w:val="28"/>
          <w:szCs w:val="28"/>
          <w:highlight w:val="white"/>
        </w:rPr>
      </w:pPr>
      <w:r w:rsidDel="00000000" w:rsidR="00000000" w:rsidRPr="00000000">
        <w:rPr>
          <w:rtl w:val="0"/>
        </w:rPr>
      </w:r>
    </w:p>
    <w:p w:rsidR="00000000" w:rsidDel="00000000" w:rsidP="00000000" w:rsidRDefault="00000000" w:rsidRPr="00000000" w14:paraId="0000000C">
      <w:pPr>
        <w:rPr>
          <w:color w:val="676767"/>
          <w:sz w:val="28"/>
          <w:szCs w:val="28"/>
          <w:highlight w:val="white"/>
        </w:rPr>
      </w:pPr>
      <w:r w:rsidDel="00000000" w:rsidR="00000000" w:rsidRPr="00000000">
        <w:rPr>
          <w:color w:val="676767"/>
          <w:sz w:val="28"/>
          <w:szCs w:val="28"/>
          <w:highlight w:val="white"/>
          <w:rtl w:val="0"/>
        </w:rPr>
        <w:t xml:space="preserve">However, this policy, especially on the VA side, may just delay the inevitable, with speeds concentrated in months seven and beyond. Furthermore, given this restriction, this may also force more aggressive lenders to focus their energy elsewhere, potentially in more seasoned loans. </w:t>
      </w:r>
    </w:p>
    <w:p w:rsidR="00000000" w:rsidDel="00000000" w:rsidP="00000000" w:rsidRDefault="00000000" w:rsidRPr="00000000" w14:paraId="0000000D">
      <w:pPr>
        <w:rPr>
          <w:color w:val="676767"/>
          <w:sz w:val="28"/>
          <w:szCs w:val="28"/>
          <w:highlight w:val="white"/>
        </w:rPr>
      </w:pPr>
      <w:r w:rsidDel="00000000" w:rsidR="00000000" w:rsidRPr="00000000">
        <w:rPr>
          <w:rtl w:val="0"/>
        </w:rPr>
      </w:r>
    </w:p>
    <w:p w:rsidR="00000000" w:rsidDel="00000000" w:rsidP="00000000" w:rsidRDefault="00000000" w:rsidRPr="00000000" w14:paraId="0000000E">
      <w:pPr>
        <w:rPr>
          <w:b w:val="1"/>
          <w:color w:val="676767"/>
          <w:sz w:val="28"/>
          <w:szCs w:val="28"/>
          <w:highlight w:val="white"/>
        </w:rPr>
      </w:pPr>
      <w:r w:rsidDel="00000000" w:rsidR="00000000" w:rsidRPr="00000000">
        <w:rPr>
          <w:b w:val="1"/>
          <w:color w:val="676767"/>
          <w:sz w:val="28"/>
          <w:szCs w:val="28"/>
          <w:highlight w:val="white"/>
          <w:rtl w:val="0"/>
        </w:rPr>
        <w:t xml:space="preserve">November 2016: CFPB Analysis of servicemember complaints about mortgage refinancing</w:t>
      </w:r>
    </w:p>
    <w:p w:rsidR="00000000" w:rsidDel="00000000" w:rsidP="00000000" w:rsidRDefault="00000000" w:rsidRPr="00000000" w14:paraId="0000000F">
      <w:pPr>
        <w:rPr>
          <w:color w:val="676767"/>
          <w:sz w:val="28"/>
          <w:szCs w:val="28"/>
          <w:highlight w:val="white"/>
        </w:rPr>
      </w:pPr>
      <w:r w:rsidDel="00000000" w:rsidR="00000000" w:rsidRPr="00000000">
        <w:rPr>
          <w:color w:val="676767"/>
          <w:sz w:val="28"/>
          <w:szCs w:val="28"/>
          <w:highlight w:val="white"/>
          <w:rtl w:val="0"/>
        </w:rPr>
        <w:t xml:space="preserve">Since 2011, homeowners’ equity has grown and nearly recovered to the 2005 pre-mortgage crisis highs. During late 2015, the 30-year fixed-rate mortgage rate hovered around 4% but has dipped notably since the start of 2016, reaching near-historic lows in July and August 2016. Increased equity, coupled with low interest rates, sets the stage for a market primed for refinancing. Consumers and lenders alike have an interest in refinancing – even more so for the thousands of qualified veteran homeowners who have access to the additional refinance programs offered by the U.S. Department of Veterans Affairs (“VA”).</w:t>
      </w:r>
      <w:r w:rsidDel="00000000" w:rsidR="00000000" w:rsidRPr="00000000">
        <w:rPr>
          <w:color w:val="676767"/>
          <w:sz w:val="28"/>
          <w:szCs w:val="28"/>
          <w:highlight w:val="white"/>
          <w:vertAlign w:val="superscript"/>
        </w:rPr>
        <w:footnoteReference w:customMarkFollows="0" w:id="0"/>
      </w:r>
      <w:r w:rsidDel="00000000" w:rsidR="00000000" w:rsidRPr="00000000">
        <w:rPr>
          <w:rtl w:val="0"/>
        </w:rPr>
      </w:r>
    </w:p>
    <w:p w:rsidR="00000000" w:rsidDel="00000000" w:rsidP="00000000" w:rsidRDefault="00000000" w:rsidRPr="00000000" w14:paraId="00000010">
      <w:pPr>
        <w:rPr>
          <w:color w:val="676767"/>
          <w:sz w:val="28"/>
          <w:szCs w:val="28"/>
          <w:highlight w:val="white"/>
        </w:rPr>
      </w:pPr>
      <w:r w:rsidDel="00000000" w:rsidR="00000000" w:rsidRPr="00000000">
        <w:rPr>
          <w:rtl w:val="0"/>
        </w:rPr>
      </w:r>
    </w:p>
    <w:p w:rsidR="00000000" w:rsidDel="00000000" w:rsidP="00000000" w:rsidRDefault="00000000" w:rsidRPr="00000000" w14:paraId="00000011">
      <w:pPr>
        <w:rPr>
          <w:color w:val="676767"/>
          <w:sz w:val="28"/>
          <w:szCs w:val="28"/>
          <w:highlight w:val="white"/>
        </w:rPr>
      </w:pPr>
      <w:r w:rsidDel="00000000" w:rsidR="00000000" w:rsidRPr="00000000">
        <w:rPr>
          <w:color w:val="676767"/>
          <w:sz w:val="28"/>
          <w:szCs w:val="28"/>
          <w:highlight w:val="white"/>
          <w:rtl w:val="0"/>
        </w:rPr>
        <w:t xml:space="preserve">The VA offers two different refinance options to qualifying borrowers, the VA </w:t>
      </w:r>
      <w:r w:rsidDel="00000000" w:rsidR="00000000" w:rsidRPr="00000000">
        <w:rPr>
          <w:b w:val="1"/>
          <w:color w:val="676767"/>
          <w:sz w:val="28"/>
          <w:szCs w:val="28"/>
          <w:highlight w:val="white"/>
          <w:rtl w:val="0"/>
        </w:rPr>
        <w:t xml:space="preserve">Cash-Out Refinance</w:t>
      </w:r>
      <w:r w:rsidDel="00000000" w:rsidR="00000000" w:rsidRPr="00000000">
        <w:rPr>
          <w:color w:val="676767"/>
          <w:sz w:val="28"/>
          <w:szCs w:val="28"/>
          <w:highlight w:val="white"/>
          <w:rtl w:val="0"/>
        </w:rPr>
        <w:t xml:space="preserve"> and the VA </w:t>
      </w:r>
      <w:r w:rsidDel="00000000" w:rsidR="00000000" w:rsidRPr="00000000">
        <w:rPr>
          <w:b w:val="1"/>
          <w:color w:val="676767"/>
          <w:sz w:val="28"/>
          <w:szCs w:val="28"/>
          <w:highlight w:val="white"/>
          <w:rtl w:val="0"/>
        </w:rPr>
        <w:t xml:space="preserve">Interest Rate Reduction Refinance Loan (IRRRL)</w:t>
      </w:r>
      <w:r w:rsidDel="00000000" w:rsidR="00000000" w:rsidRPr="00000000">
        <w:rPr>
          <w:color w:val="676767"/>
          <w:sz w:val="28"/>
          <w:szCs w:val="28"/>
          <w:highlight w:val="white"/>
          <w:rtl w:val="0"/>
        </w:rPr>
        <w:t xml:space="preserve">. The IRRRL allows current VA home loan borrowers to potentially refinance up to 100% of their home’s value with “no money out of pocket”</w:t>
      </w:r>
      <w:r w:rsidDel="00000000" w:rsidR="00000000" w:rsidRPr="00000000">
        <w:rPr>
          <w:color w:val="676767"/>
          <w:sz w:val="28"/>
          <w:szCs w:val="28"/>
          <w:highlight w:val="white"/>
          <w:vertAlign w:val="superscript"/>
        </w:rPr>
        <w:footnoteReference w:customMarkFollows="0" w:id="1"/>
      </w:r>
      <w:r w:rsidDel="00000000" w:rsidR="00000000" w:rsidRPr="00000000">
        <w:rPr>
          <w:color w:val="676767"/>
          <w:sz w:val="28"/>
          <w:szCs w:val="28"/>
          <w:highlight w:val="white"/>
          <w:rtl w:val="0"/>
        </w:rPr>
        <w:t xml:space="preserve">; while the VA Cash-Out Refinance can be used by VA borrowers to refinance an existing VA or non-VA loan into a VA-guaranteed loan.</w:t>
      </w:r>
    </w:p>
    <w:p w:rsidR="00000000" w:rsidDel="00000000" w:rsidP="00000000" w:rsidRDefault="00000000" w:rsidRPr="00000000" w14:paraId="00000012">
      <w:pPr>
        <w:rPr>
          <w:color w:val="676767"/>
          <w:sz w:val="28"/>
          <w:szCs w:val="28"/>
          <w:highlight w:val="white"/>
        </w:rPr>
      </w:pPr>
      <w:r w:rsidDel="00000000" w:rsidR="00000000" w:rsidRPr="00000000">
        <w:rPr>
          <w:rtl w:val="0"/>
        </w:rPr>
      </w:r>
    </w:p>
    <w:p w:rsidR="00000000" w:rsidDel="00000000" w:rsidP="00000000" w:rsidRDefault="00000000" w:rsidRPr="00000000" w14:paraId="00000013">
      <w:pPr>
        <w:rPr>
          <w:color w:val="676767"/>
          <w:sz w:val="28"/>
          <w:szCs w:val="28"/>
          <w:highlight w:val="white"/>
        </w:rPr>
      </w:pPr>
      <w:r w:rsidDel="00000000" w:rsidR="00000000" w:rsidRPr="00000000">
        <w:rPr>
          <w:color w:val="676767"/>
          <w:sz w:val="28"/>
          <w:szCs w:val="28"/>
          <w:highlight w:val="white"/>
          <w:rtl w:val="0"/>
        </w:rPr>
        <w:t xml:space="preserve">Veterans report being proactively contacted by lenders with promises of rates lower than their existing mortgages, only to end up at the closing table with much worse terms than they expected, because processing delays, like large time gaps in document requests, can cause rate locks to expire which can drive up the rate originally promised. Borrowers often have to choose between the higher rate or putting cash towards a rate extension. Many times, these veterans feel compelled to continue the process with their lender, even after the terms change, because their credit has already been pulled.</w:t>
      </w:r>
    </w:p>
    <w:p w:rsidR="00000000" w:rsidDel="00000000" w:rsidP="00000000" w:rsidRDefault="00000000" w:rsidRPr="00000000" w14:paraId="00000014">
      <w:pPr>
        <w:rPr>
          <w:color w:val="676767"/>
          <w:sz w:val="28"/>
          <w:szCs w:val="28"/>
          <w:highlight w:val="white"/>
        </w:rPr>
      </w:pPr>
      <w:r w:rsidDel="00000000" w:rsidR="00000000" w:rsidRPr="00000000">
        <w:rPr>
          <w:rtl w:val="0"/>
        </w:rPr>
      </w:r>
    </w:p>
    <w:p w:rsidR="00000000" w:rsidDel="00000000" w:rsidP="00000000" w:rsidRDefault="00000000" w:rsidRPr="00000000" w14:paraId="00000015">
      <w:pPr>
        <w:rPr>
          <w:b w:val="1"/>
          <w:color w:val="676767"/>
          <w:sz w:val="28"/>
          <w:szCs w:val="28"/>
          <w:highlight w:val="white"/>
        </w:rPr>
      </w:pPr>
      <w:r w:rsidDel="00000000" w:rsidR="00000000" w:rsidRPr="00000000">
        <w:rPr>
          <w:b w:val="1"/>
          <w:color w:val="676767"/>
          <w:sz w:val="28"/>
          <w:szCs w:val="28"/>
          <w:highlight w:val="white"/>
          <w:rtl w:val="0"/>
        </w:rPr>
        <w:t xml:space="preserve">September 6th, 2017: Elizabeth Warren Letter to Ginnie Mae</w:t>
      </w:r>
    </w:p>
    <w:p w:rsidR="00000000" w:rsidDel="00000000" w:rsidP="00000000" w:rsidRDefault="00000000" w:rsidRPr="00000000" w14:paraId="00000016">
      <w:pPr>
        <w:rPr>
          <w:color w:val="676767"/>
          <w:sz w:val="28"/>
          <w:szCs w:val="28"/>
          <w:highlight w:val="white"/>
        </w:rPr>
      </w:pPr>
      <w:r w:rsidDel="00000000" w:rsidR="00000000" w:rsidRPr="00000000">
        <w:rPr>
          <w:color w:val="676767"/>
          <w:sz w:val="28"/>
          <w:szCs w:val="28"/>
          <w:highlight w:val="white"/>
          <w:rtl w:val="0"/>
        </w:rPr>
        <w:t xml:space="preserve">In addition to the CFPB report, market analysts have noted that certain VA mortgage servicers are significantly more likely to "churn" loans</w:t>
      </w:r>
      <w:r w:rsidDel="00000000" w:rsidR="00000000" w:rsidRPr="00000000">
        <w:rPr>
          <w:color w:val="676767"/>
          <w:sz w:val="28"/>
          <w:szCs w:val="28"/>
          <w:highlight w:val="white"/>
          <w:vertAlign w:val="superscript"/>
        </w:rPr>
        <w:footnoteReference w:customMarkFollows="0" w:id="2"/>
      </w:r>
      <w:r w:rsidDel="00000000" w:rsidR="00000000" w:rsidRPr="00000000">
        <w:rPr>
          <w:color w:val="676767"/>
          <w:sz w:val="28"/>
          <w:szCs w:val="28"/>
          <w:highlight w:val="white"/>
          <w:rtl w:val="0"/>
        </w:rPr>
        <w:t xml:space="preserve"> - that is, successfully solicit an existing VA borrower to refinance her mortgage - and that the "share of 'churning' servicers on the newer [Ginnie Mae] pools remains fairly high." These high churn rates could reflect the aggressive</w:t>
      </w:r>
    </w:p>
    <w:p w:rsidR="00000000" w:rsidDel="00000000" w:rsidP="00000000" w:rsidRDefault="00000000" w:rsidRPr="00000000" w14:paraId="00000017">
      <w:pPr>
        <w:rPr>
          <w:color w:val="676767"/>
          <w:sz w:val="28"/>
          <w:szCs w:val="28"/>
          <w:highlight w:val="white"/>
        </w:rPr>
      </w:pPr>
      <w:r w:rsidDel="00000000" w:rsidR="00000000" w:rsidRPr="00000000">
        <w:rPr>
          <w:color w:val="676767"/>
          <w:sz w:val="28"/>
          <w:szCs w:val="28"/>
          <w:highlight w:val="white"/>
          <w:rtl w:val="0"/>
        </w:rPr>
        <w:t xml:space="preserve">marketing tactics highlighted in the CFPB report.</w:t>
      </w:r>
    </w:p>
    <w:p w:rsidR="00000000" w:rsidDel="00000000" w:rsidP="00000000" w:rsidRDefault="00000000" w:rsidRPr="00000000" w14:paraId="00000018">
      <w:pPr>
        <w:rPr>
          <w:color w:val="676767"/>
          <w:sz w:val="28"/>
          <w:szCs w:val="28"/>
          <w:highlight w:val="white"/>
        </w:rPr>
      </w:pPr>
      <w:r w:rsidDel="00000000" w:rsidR="00000000" w:rsidRPr="00000000">
        <w:rPr>
          <w:rtl w:val="0"/>
        </w:rPr>
      </w:r>
    </w:p>
    <w:p w:rsidR="00000000" w:rsidDel="00000000" w:rsidP="00000000" w:rsidRDefault="00000000" w:rsidRPr="00000000" w14:paraId="00000019">
      <w:pPr>
        <w:rPr>
          <w:b w:val="1"/>
          <w:color w:val="676767"/>
          <w:sz w:val="28"/>
          <w:szCs w:val="28"/>
          <w:highlight w:val="white"/>
        </w:rPr>
      </w:pPr>
      <w:r w:rsidDel="00000000" w:rsidR="00000000" w:rsidRPr="00000000">
        <w:rPr>
          <w:b w:val="1"/>
          <w:color w:val="676767"/>
          <w:sz w:val="28"/>
          <w:szCs w:val="28"/>
          <w:highlight w:val="white"/>
          <w:rtl w:val="0"/>
        </w:rPr>
        <w:t xml:space="preserve">September 14th, 2017: Ginnie Mae Letter to Elizabeth Warren</w:t>
      </w:r>
    </w:p>
    <w:p w:rsidR="00000000" w:rsidDel="00000000" w:rsidP="00000000" w:rsidRDefault="00000000" w:rsidRPr="00000000" w14:paraId="0000001A">
      <w:pPr>
        <w:rPr>
          <w:color w:val="676767"/>
          <w:sz w:val="28"/>
          <w:szCs w:val="28"/>
          <w:highlight w:val="white"/>
        </w:rPr>
      </w:pPr>
      <w:r w:rsidDel="00000000" w:rsidR="00000000" w:rsidRPr="00000000">
        <w:rPr>
          <w:color w:val="676767"/>
          <w:sz w:val="28"/>
          <w:szCs w:val="28"/>
          <w:highlight w:val="white"/>
          <w:rtl w:val="0"/>
        </w:rPr>
        <w:t xml:space="preserve">Evasive mechanisms employed by issuers active in aggressive VA loan churning to avoid the consequences of the new requirement. </w:t>
      </w:r>
    </w:p>
    <w:p w:rsidR="00000000" w:rsidDel="00000000" w:rsidP="00000000" w:rsidRDefault="00000000" w:rsidRPr="00000000" w14:paraId="0000001B">
      <w:pPr>
        <w:numPr>
          <w:ilvl w:val="0"/>
          <w:numId w:val="2"/>
        </w:numPr>
        <w:ind w:left="720" w:hanging="360"/>
        <w:rPr>
          <w:color w:val="676767"/>
          <w:sz w:val="28"/>
          <w:szCs w:val="28"/>
          <w:highlight w:val="white"/>
          <w:u w:val="none"/>
        </w:rPr>
      </w:pPr>
      <w:r w:rsidDel="00000000" w:rsidR="00000000" w:rsidRPr="00000000">
        <w:rPr>
          <w:color w:val="676767"/>
          <w:sz w:val="28"/>
          <w:szCs w:val="28"/>
          <w:highlight w:val="white"/>
          <w:rtl w:val="0"/>
        </w:rPr>
        <w:t xml:space="preserve">Waiting until 6 months and 1 day after origination and then originating a refinance</w:t>
      </w:r>
    </w:p>
    <w:p w:rsidR="00000000" w:rsidDel="00000000" w:rsidP="00000000" w:rsidRDefault="00000000" w:rsidRPr="00000000" w14:paraId="0000001C">
      <w:pPr>
        <w:numPr>
          <w:ilvl w:val="0"/>
          <w:numId w:val="2"/>
        </w:numPr>
        <w:ind w:left="720" w:hanging="360"/>
        <w:rPr>
          <w:color w:val="676767"/>
          <w:sz w:val="28"/>
          <w:szCs w:val="28"/>
          <w:highlight w:val="white"/>
          <w:u w:val="none"/>
        </w:rPr>
      </w:pPr>
      <w:r w:rsidDel="00000000" w:rsidR="00000000" w:rsidRPr="00000000">
        <w:rPr>
          <w:color w:val="676767"/>
          <w:sz w:val="28"/>
          <w:szCs w:val="28"/>
          <w:highlight w:val="white"/>
          <w:rtl w:val="0"/>
        </w:rPr>
        <w:t xml:space="preserve">Performing a fully underwritten (e.g, non-streamlined) refi within just a couple of months of the origination of the prior loan</w:t>
      </w:r>
    </w:p>
    <w:p w:rsidR="00000000" w:rsidDel="00000000" w:rsidP="00000000" w:rsidRDefault="00000000" w:rsidRPr="00000000" w14:paraId="0000001D">
      <w:pPr>
        <w:numPr>
          <w:ilvl w:val="0"/>
          <w:numId w:val="2"/>
        </w:numPr>
        <w:ind w:left="720" w:hanging="360"/>
        <w:rPr>
          <w:color w:val="676767"/>
          <w:sz w:val="28"/>
          <w:szCs w:val="28"/>
          <w:highlight w:val="white"/>
          <w:u w:val="none"/>
        </w:rPr>
      </w:pPr>
      <w:r w:rsidDel="00000000" w:rsidR="00000000" w:rsidRPr="00000000">
        <w:rPr>
          <w:color w:val="676767"/>
          <w:sz w:val="28"/>
          <w:szCs w:val="28"/>
          <w:highlight w:val="white"/>
          <w:rtl w:val="0"/>
        </w:rPr>
        <w:t xml:space="preserve">Marketing a cash-out refinance, since cash outs are excluded from the definition of a “streamlined refinance” and are therefore excluded from the original moratorium on early refinancing</w:t>
      </w:r>
    </w:p>
    <w:p w:rsidR="00000000" w:rsidDel="00000000" w:rsidP="00000000" w:rsidRDefault="00000000" w:rsidRPr="00000000" w14:paraId="0000001E">
      <w:pPr>
        <w:numPr>
          <w:ilvl w:val="0"/>
          <w:numId w:val="2"/>
        </w:numPr>
        <w:ind w:left="720" w:hanging="360"/>
        <w:rPr>
          <w:color w:val="676767"/>
          <w:sz w:val="28"/>
          <w:szCs w:val="28"/>
          <w:highlight w:val="white"/>
          <w:u w:val="none"/>
        </w:rPr>
      </w:pPr>
      <w:r w:rsidDel="00000000" w:rsidR="00000000" w:rsidRPr="00000000">
        <w:rPr>
          <w:color w:val="676767"/>
          <w:sz w:val="28"/>
          <w:szCs w:val="28"/>
          <w:highlight w:val="white"/>
          <w:rtl w:val="0"/>
        </w:rPr>
        <w:t xml:space="preserve">Refinancing from fixed-rate loans to adjustable rate mortgages (ARMs)</w:t>
      </w:r>
    </w:p>
    <w:p w:rsidR="00000000" w:rsidDel="00000000" w:rsidP="00000000" w:rsidRDefault="00000000" w:rsidRPr="00000000" w14:paraId="0000001F">
      <w:pPr>
        <w:numPr>
          <w:ilvl w:val="0"/>
          <w:numId w:val="2"/>
        </w:numPr>
        <w:ind w:left="720" w:hanging="360"/>
        <w:rPr>
          <w:color w:val="676767"/>
          <w:sz w:val="28"/>
          <w:szCs w:val="28"/>
          <w:highlight w:val="white"/>
          <w:u w:val="none"/>
        </w:rPr>
      </w:pPr>
      <w:r w:rsidDel="00000000" w:rsidR="00000000" w:rsidRPr="00000000">
        <w:rPr>
          <w:color w:val="676767"/>
          <w:sz w:val="28"/>
          <w:szCs w:val="28"/>
          <w:highlight w:val="white"/>
          <w:rtl w:val="0"/>
        </w:rPr>
        <w:t xml:space="preserve">Soliciting borrowers for a refinance with the promise that they can skip a month of mortgage payments</w:t>
      </w:r>
    </w:p>
    <w:p w:rsidR="00000000" w:rsidDel="00000000" w:rsidP="00000000" w:rsidRDefault="00000000" w:rsidRPr="00000000" w14:paraId="00000020">
      <w:pPr>
        <w:numPr>
          <w:ilvl w:val="0"/>
          <w:numId w:val="2"/>
        </w:numPr>
        <w:ind w:left="720" w:hanging="360"/>
        <w:rPr>
          <w:color w:val="676767"/>
          <w:sz w:val="28"/>
          <w:szCs w:val="28"/>
          <w:highlight w:val="white"/>
          <w:u w:val="none"/>
        </w:rPr>
      </w:pPr>
      <w:r w:rsidDel="00000000" w:rsidR="00000000" w:rsidRPr="00000000">
        <w:rPr>
          <w:color w:val="676767"/>
          <w:sz w:val="28"/>
          <w:szCs w:val="28"/>
          <w:highlight w:val="white"/>
          <w:rtl w:val="0"/>
        </w:rPr>
        <w:t xml:space="preserve">Offering to return the borrowers’ escrows, as well as other tactics.</w:t>
      </w:r>
    </w:p>
    <w:p w:rsidR="00000000" w:rsidDel="00000000" w:rsidP="00000000" w:rsidRDefault="00000000" w:rsidRPr="00000000" w14:paraId="00000021">
      <w:pPr>
        <w:rPr>
          <w:color w:val="676767"/>
          <w:sz w:val="28"/>
          <w:szCs w:val="28"/>
          <w:highlight w:val="white"/>
        </w:rPr>
      </w:pPr>
      <w:r w:rsidDel="00000000" w:rsidR="00000000" w:rsidRPr="00000000">
        <w:rPr>
          <w:rtl w:val="0"/>
        </w:rPr>
      </w:r>
    </w:p>
    <w:p w:rsidR="00000000" w:rsidDel="00000000" w:rsidP="00000000" w:rsidRDefault="00000000" w:rsidRPr="00000000" w14:paraId="00000022">
      <w:pPr>
        <w:rPr>
          <w:b w:val="1"/>
          <w:color w:val="676767"/>
          <w:sz w:val="28"/>
          <w:szCs w:val="28"/>
          <w:highlight w:val="white"/>
        </w:rPr>
      </w:pPr>
      <w:r w:rsidDel="00000000" w:rsidR="00000000" w:rsidRPr="00000000">
        <w:rPr>
          <w:b w:val="1"/>
          <w:color w:val="676767"/>
          <w:sz w:val="28"/>
          <w:szCs w:val="28"/>
          <w:highlight w:val="white"/>
          <w:rtl w:val="0"/>
        </w:rPr>
        <w:t xml:space="preserve">December 7th, 2017: Ginnie Mae releases APM 17-06</w:t>
      </w:r>
    </w:p>
    <w:p w:rsidR="00000000" w:rsidDel="00000000" w:rsidP="00000000" w:rsidRDefault="00000000" w:rsidRPr="00000000" w14:paraId="00000023">
      <w:pPr>
        <w:rPr>
          <w:color w:val="676767"/>
          <w:sz w:val="28"/>
          <w:szCs w:val="28"/>
          <w:highlight w:val="white"/>
        </w:rPr>
      </w:pPr>
      <w:r w:rsidDel="00000000" w:rsidR="00000000" w:rsidRPr="00000000">
        <w:rPr>
          <w:color w:val="676767"/>
          <w:sz w:val="28"/>
          <w:szCs w:val="28"/>
          <w:highlight w:val="white"/>
          <w:rtl w:val="0"/>
        </w:rPr>
        <w:t xml:space="preserve">Effective with pool issuances on or after April 1, 2018, streamlined refinance loans and cash-out refinance loans are eligible for Ginnie Mae I Single Issuer Pools and Ginnie Mae II Multiple Issuer Pools if and only if:</w:t>
      </w:r>
    </w:p>
    <w:p w:rsidR="00000000" w:rsidDel="00000000" w:rsidP="00000000" w:rsidRDefault="00000000" w:rsidRPr="00000000" w14:paraId="00000024">
      <w:pPr>
        <w:rPr>
          <w:color w:val="676767"/>
          <w:sz w:val="28"/>
          <w:szCs w:val="28"/>
          <w:highlight w:val="white"/>
        </w:rPr>
      </w:pPr>
      <w:r w:rsidDel="00000000" w:rsidR="00000000" w:rsidRPr="00000000">
        <w:rPr>
          <w:color w:val="676767"/>
          <w:sz w:val="28"/>
          <w:szCs w:val="28"/>
          <w:highlight w:val="white"/>
          <w:rtl w:val="0"/>
        </w:rPr>
        <w:t xml:space="preserve">a) the borrower made at least six consecutive monthly payments on the loan being refinanced, referred to hereinafter as the Initial Loan, beginning with the payment made on the first payment due date; and</w:t>
      </w:r>
    </w:p>
    <w:p w:rsidR="00000000" w:rsidDel="00000000" w:rsidP="00000000" w:rsidRDefault="00000000" w:rsidRPr="00000000" w14:paraId="00000025">
      <w:pPr>
        <w:rPr>
          <w:color w:val="676767"/>
          <w:sz w:val="28"/>
          <w:szCs w:val="28"/>
          <w:highlight w:val="white"/>
        </w:rPr>
      </w:pPr>
      <w:r w:rsidDel="00000000" w:rsidR="00000000" w:rsidRPr="00000000">
        <w:rPr>
          <w:color w:val="676767"/>
          <w:sz w:val="28"/>
          <w:szCs w:val="28"/>
          <w:highlight w:val="white"/>
          <w:rtl w:val="0"/>
        </w:rPr>
        <w:t xml:space="preserve">b) the first payment due date of the refinance loan occurs no earlier than 210 days after the first payment due date of the Initial Loan.</w:t>
      </w:r>
    </w:p>
    <w:p w:rsidR="00000000" w:rsidDel="00000000" w:rsidP="00000000" w:rsidRDefault="00000000" w:rsidRPr="00000000" w14:paraId="00000026">
      <w:pPr>
        <w:rPr>
          <w:color w:val="676767"/>
          <w:sz w:val="28"/>
          <w:szCs w:val="28"/>
          <w:highlight w:val="white"/>
        </w:rPr>
      </w:pPr>
      <w:r w:rsidDel="00000000" w:rsidR="00000000" w:rsidRPr="00000000">
        <w:rPr>
          <w:rtl w:val="0"/>
        </w:rPr>
      </w:r>
    </w:p>
    <w:p w:rsidR="00000000" w:rsidDel="00000000" w:rsidP="00000000" w:rsidRDefault="00000000" w:rsidRPr="00000000" w14:paraId="00000027">
      <w:pPr>
        <w:rPr>
          <w:color w:val="676767"/>
          <w:sz w:val="28"/>
          <w:szCs w:val="28"/>
          <w:highlight w:val="white"/>
        </w:rPr>
      </w:pPr>
      <w:r w:rsidDel="00000000" w:rsidR="00000000" w:rsidRPr="00000000">
        <w:rPr>
          <w:color w:val="676767"/>
          <w:sz w:val="28"/>
          <w:szCs w:val="28"/>
          <w:highlight w:val="white"/>
          <w:rtl w:val="0"/>
        </w:rPr>
        <w:t xml:space="preserve">Ginnie Mae is able to identify Issuers with unusually fast prepayment rates through operational performance metrics. Issuers with such prepayment rates should anticipate increased engagement from Ginnie Mae.</w:t>
      </w:r>
    </w:p>
    <w:p w:rsidR="00000000" w:rsidDel="00000000" w:rsidP="00000000" w:rsidRDefault="00000000" w:rsidRPr="00000000" w14:paraId="00000028">
      <w:pPr>
        <w:rPr>
          <w:color w:val="676767"/>
          <w:sz w:val="28"/>
          <w:szCs w:val="28"/>
          <w:highlight w:val="white"/>
        </w:rPr>
      </w:pPr>
      <w:r w:rsidDel="00000000" w:rsidR="00000000" w:rsidRPr="00000000">
        <w:rPr>
          <w:rtl w:val="0"/>
        </w:rPr>
      </w:r>
    </w:p>
    <w:p w:rsidR="00000000" w:rsidDel="00000000" w:rsidP="00000000" w:rsidRDefault="00000000" w:rsidRPr="00000000" w14:paraId="00000029">
      <w:pPr>
        <w:rPr>
          <w:color w:val="676767"/>
          <w:sz w:val="28"/>
          <w:szCs w:val="28"/>
          <w:highlight w:val="white"/>
        </w:rPr>
      </w:pPr>
      <w:r w:rsidDel="00000000" w:rsidR="00000000" w:rsidRPr="00000000">
        <w:rPr>
          <w:color w:val="676767"/>
          <w:sz w:val="28"/>
          <w:szCs w:val="28"/>
          <w:highlight w:val="white"/>
          <w:rtl w:val="0"/>
        </w:rPr>
        <w:t xml:space="preserve">In early 2018, Ginnie Mae will be revising its standards regarding the pooling of “premium rate loans”; the Guide currently prohibits the</w:t>
      </w:r>
    </w:p>
    <w:p w:rsidR="00000000" w:rsidDel="00000000" w:rsidP="00000000" w:rsidRDefault="00000000" w:rsidRPr="00000000" w14:paraId="0000002A">
      <w:pPr>
        <w:rPr>
          <w:color w:val="676767"/>
          <w:sz w:val="28"/>
          <w:szCs w:val="28"/>
          <w:highlight w:val="white"/>
        </w:rPr>
      </w:pPr>
      <w:r w:rsidDel="00000000" w:rsidR="00000000" w:rsidRPr="00000000">
        <w:rPr>
          <w:color w:val="676767"/>
          <w:sz w:val="28"/>
          <w:szCs w:val="28"/>
          <w:highlight w:val="white"/>
          <w:rtl w:val="0"/>
        </w:rPr>
        <w:t xml:space="preserve">pooling of loans with WACs that are 150bp or more above the “interest rate on new Ginnie Mae securities valued closest to par on the date the</w:t>
      </w:r>
    </w:p>
    <w:p w:rsidR="00000000" w:rsidDel="00000000" w:rsidP="00000000" w:rsidRDefault="00000000" w:rsidRPr="00000000" w14:paraId="0000002B">
      <w:pPr>
        <w:rPr>
          <w:color w:val="676767"/>
          <w:sz w:val="28"/>
          <w:szCs w:val="28"/>
          <w:highlight w:val="white"/>
        </w:rPr>
      </w:pPr>
      <w:r w:rsidDel="00000000" w:rsidR="00000000" w:rsidRPr="00000000">
        <w:rPr>
          <w:color w:val="676767"/>
          <w:sz w:val="28"/>
          <w:szCs w:val="28"/>
          <w:highlight w:val="white"/>
          <w:rtl w:val="0"/>
        </w:rPr>
        <w:t xml:space="preserve">interest rate on the mortgage was established”.  However, that par rate is not clearly defined by Ginnie, and there is currently no enforcement of this</w:t>
      </w:r>
    </w:p>
    <w:p w:rsidR="00000000" w:rsidDel="00000000" w:rsidP="00000000" w:rsidRDefault="00000000" w:rsidRPr="00000000" w14:paraId="0000002C">
      <w:pPr>
        <w:rPr>
          <w:color w:val="676767"/>
          <w:sz w:val="28"/>
          <w:szCs w:val="28"/>
          <w:highlight w:val="white"/>
        </w:rPr>
      </w:pPr>
      <w:r w:rsidDel="00000000" w:rsidR="00000000" w:rsidRPr="00000000">
        <w:rPr>
          <w:color w:val="676767"/>
          <w:sz w:val="28"/>
          <w:szCs w:val="28"/>
          <w:highlight w:val="white"/>
          <w:rtl w:val="0"/>
        </w:rPr>
        <w:t xml:space="preserve">Rule.</w:t>
      </w:r>
    </w:p>
    <w:p w:rsidR="00000000" w:rsidDel="00000000" w:rsidP="00000000" w:rsidRDefault="00000000" w:rsidRPr="00000000" w14:paraId="0000002D">
      <w:pPr>
        <w:rPr>
          <w:color w:val="676767"/>
          <w:sz w:val="28"/>
          <w:szCs w:val="28"/>
          <w:highlight w:val="white"/>
        </w:rPr>
      </w:pPr>
      <w:r w:rsidDel="00000000" w:rsidR="00000000" w:rsidRPr="00000000">
        <w:rPr>
          <w:rtl w:val="0"/>
        </w:rPr>
      </w:r>
    </w:p>
    <w:p w:rsidR="00000000" w:rsidDel="00000000" w:rsidP="00000000" w:rsidRDefault="00000000" w:rsidRPr="00000000" w14:paraId="0000002E">
      <w:pPr>
        <w:rPr>
          <w:b w:val="1"/>
          <w:color w:val="676767"/>
          <w:sz w:val="28"/>
          <w:szCs w:val="28"/>
          <w:highlight w:val="white"/>
        </w:rPr>
      </w:pPr>
      <w:r w:rsidDel="00000000" w:rsidR="00000000" w:rsidRPr="00000000">
        <w:rPr>
          <w:b w:val="1"/>
          <w:color w:val="676767"/>
          <w:sz w:val="28"/>
          <w:szCs w:val="28"/>
          <w:highlight w:val="white"/>
          <w:rtl w:val="0"/>
        </w:rPr>
        <w:t xml:space="preserve">January 11th, 2018: Protecting Veterans from Predatory Lending Act of 2018</w:t>
      </w:r>
    </w:p>
    <w:p w:rsidR="00000000" w:rsidDel="00000000" w:rsidP="00000000" w:rsidRDefault="00000000" w:rsidRPr="00000000" w14:paraId="0000002F">
      <w:pPr>
        <w:rPr>
          <w:color w:val="676767"/>
          <w:sz w:val="28"/>
          <w:szCs w:val="28"/>
          <w:highlight w:val="white"/>
        </w:rPr>
      </w:pPr>
      <w:r w:rsidDel="00000000" w:rsidR="00000000" w:rsidRPr="00000000">
        <w:rPr>
          <w:color w:val="676767"/>
          <w:sz w:val="28"/>
          <w:szCs w:val="28"/>
          <w:highlight w:val="white"/>
          <w:rtl w:val="0"/>
        </w:rPr>
        <w:t xml:space="preserve">The Protecting Veterans from Predatory Lending Act provides this authority by establishing the following requirements:</w:t>
      </w:r>
    </w:p>
    <w:p w:rsidR="00000000" w:rsidDel="00000000" w:rsidP="00000000" w:rsidRDefault="00000000" w:rsidRPr="00000000" w14:paraId="00000030">
      <w:pPr>
        <w:rPr>
          <w:color w:val="676767"/>
          <w:sz w:val="28"/>
          <w:szCs w:val="28"/>
          <w:highlight w:val="white"/>
        </w:rPr>
      </w:pPr>
      <w:r w:rsidDel="00000000" w:rsidR="00000000" w:rsidRPr="00000000">
        <w:rPr>
          <w:color w:val="676767"/>
          <w:sz w:val="28"/>
          <w:szCs w:val="28"/>
          <w:highlight w:val="white"/>
          <w:rtl w:val="0"/>
        </w:rPr>
        <w:t xml:space="preserve">• A lender may only submit a refinance loan for VA insurance if it certifies that all fees associated with the refinance would be recouped through lower monthly payments within three years;</w:t>
      </w:r>
    </w:p>
    <w:p w:rsidR="00000000" w:rsidDel="00000000" w:rsidP="00000000" w:rsidRDefault="00000000" w:rsidRPr="00000000" w14:paraId="00000031">
      <w:pPr>
        <w:rPr>
          <w:color w:val="676767"/>
          <w:sz w:val="28"/>
          <w:szCs w:val="28"/>
          <w:highlight w:val="white"/>
        </w:rPr>
      </w:pPr>
      <w:r w:rsidDel="00000000" w:rsidR="00000000" w:rsidRPr="00000000">
        <w:rPr>
          <w:color w:val="676767"/>
          <w:sz w:val="28"/>
          <w:szCs w:val="28"/>
          <w:highlight w:val="white"/>
          <w:rtl w:val="0"/>
        </w:rPr>
        <w:t xml:space="preserve">• A lender may only receive VA insurance for a refinance loan if the refinance loan has a fixed rate 50 basis points lower than the earlier fixed-rate loan (or 200 basis points lower if the new refinanced loan is an adjustable rate mortgage).</w:t>
      </w:r>
    </w:p>
    <w:p w:rsidR="00000000" w:rsidDel="00000000" w:rsidP="00000000" w:rsidRDefault="00000000" w:rsidRPr="00000000" w14:paraId="00000032">
      <w:pPr>
        <w:rPr>
          <w:color w:val="676767"/>
          <w:sz w:val="28"/>
          <w:szCs w:val="28"/>
          <w:highlight w:val="white"/>
        </w:rPr>
      </w:pPr>
      <w:r w:rsidDel="00000000" w:rsidR="00000000" w:rsidRPr="00000000">
        <w:rPr>
          <w:color w:val="676767"/>
          <w:sz w:val="28"/>
          <w:szCs w:val="28"/>
          <w:highlight w:val="white"/>
          <w:rtl w:val="0"/>
        </w:rPr>
        <w:t xml:space="preserve">• A lender may only receive VA insurance or get a Ginnie Mae guarantee for a refinance loan if the refinance comes more than six months after the initial loan.</w:t>
      </w:r>
    </w:p>
    <w:p w:rsidR="00000000" w:rsidDel="00000000" w:rsidP="00000000" w:rsidRDefault="00000000" w:rsidRPr="00000000" w14:paraId="00000033">
      <w:pPr>
        <w:rPr>
          <w:color w:val="676767"/>
          <w:sz w:val="28"/>
          <w:szCs w:val="28"/>
          <w:highlight w:val="white"/>
        </w:rPr>
      </w:pPr>
      <w:r w:rsidDel="00000000" w:rsidR="00000000" w:rsidRPr="00000000">
        <w:rPr>
          <w:rtl w:val="0"/>
        </w:rPr>
      </w:r>
    </w:p>
    <w:p w:rsidR="00000000" w:rsidDel="00000000" w:rsidP="00000000" w:rsidRDefault="00000000" w:rsidRPr="00000000" w14:paraId="00000034">
      <w:pPr>
        <w:rPr>
          <w:b w:val="1"/>
          <w:color w:val="676767"/>
          <w:sz w:val="28"/>
          <w:szCs w:val="28"/>
          <w:highlight w:val="white"/>
        </w:rPr>
      </w:pPr>
      <w:r w:rsidDel="00000000" w:rsidR="00000000" w:rsidRPr="00000000">
        <w:rPr>
          <w:b w:val="1"/>
          <w:color w:val="676767"/>
          <w:sz w:val="28"/>
          <w:szCs w:val="28"/>
          <w:highlight w:val="white"/>
          <w:rtl w:val="0"/>
        </w:rPr>
        <w:t xml:space="preserve">January 26th, 2018: Ginnie Mae APM 18-02</w:t>
      </w:r>
    </w:p>
    <w:p w:rsidR="00000000" w:rsidDel="00000000" w:rsidP="00000000" w:rsidRDefault="00000000" w:rsidRPr="00000000" w14:paraId="00000035">
      <w:pPr>
        <w:rPr>
          <w:b w:val="1"/>
          <w:color w:val="676767"/>
          <w:sz w:val="28"/>
          <w:szCs w:val="28"/>
          <w:highlight w:val="white"/>
        </w:rPr>
      </w:pPr>
      <w:r w:rsidDel="00000000" w:rsidR="00000000" w:rsidRPr="00000000">
        <w:rPr>
          <w:b w:val="1"/>
          <w:color w:val="676767"/>
          <w:sz w:val="28"/>
          <w:szCs w:val="28"/>
          <w:highlight w:val="white"/>
          <w:rtl w:val="0"/>
        </w:rPr>
        <w:t xml:space="preserve">Origination and servicing practices that ensure that the performance of an Issuer’s securities is in line with that of similarly constituted securities for the Ginnie Mae portfolio as a whole.</w:t>
      </w:r>
    </w:p>
    <w:p w:rsidR="00000000" w:rsidDel="00000000" w:rsidP="00000000" w:rsidRDefault="00000000" w:rsidRPr="00000000" w14:paraId="00000036">
      <w:pPr>
        <w:rPr>
          <w:b w:val="1"/>
          <w:color w:val="676767"/>
          <w:sz w:val="28"/>
          <w:szCs w:val="28"/>
          <w:highlight w:val="white"/>
        </w:rPr>
      </w:pPr>
      <w:r w:rsidDel="00000000" w:rsidR="00000000" w:rsidRPr="00000000">
        <w:rPr>
          <w:rtl w:val="0"/>
        </w:rPr>
      </w:r>
    </w:p>
    <w:p w:rsidR="00000000" w:rsidDel="00000000" w:rsidP="00000000" w:rsidRDefault="00000000" w:rsidRPr="00000000" w14:paraId="00000037">
      <w:pPr>
        <w:rPr>
          <w:color w:val="676767"/>
          <w:sz w:val="28"/>
          <w:szCs w:val="28"/>
          <w:highlight w:val="white"/>
        </w:rPr>
      </w:pPr>
      <w:r w:rsidDel="00000000" w:rsidR="00000000" w:rsidRPr="00000000">
        <w:rPr>
          <w:color w:val="676767"/>
          <w:sz w:val="28"/>
          <w:szCs w:val="28"/>
          <w:highlight w:val="white"/>
          <w:rtl w:val="0"/>
        </w:rPr>
        <w:t xml:space="preserve">The item that got the most attention was the fourth — for the first time, Ginnie is making the prepayment behavior of an issuer, relative to other issuers, a “risk parameter.” Ginnie then went on to give specific situations where issuers would violate these provisions:</w:t>
      </w:r>
    </w:p>
    <w:p w:rsidR="00000000" w:rsidDel="00000000" w:rsidP="00000000" w:rsidRDefault="00000000" w:rsidRPr="00000000" w14:paraId="00000038">
      <w:pPr>
        <w:rPr>
          <w:color w:val="676767"/>
          <w:sz w:val="28"/>
          <w:szCs w:val="28"/>
          <w:highlight w:val="white"/>
        </w:rPr>
      </w:pPr>
      <w:r w:rsidDel="00000000" w:rsidR="00000000" w:rsidRPr="00000000">
        <w:rPr>
          <w:color w:val="676767"/>
          <w:sz w:val="28"/>
          <w:szCs w:val="28"/>
          <w:highlight w:val="white"/>
          <w:rtl w:val="0"/>
        </w:rPr>
        <w:t xml:space="preserve">1. Rates of delinquency that are above the thresholds published in Chapter</w:t>
      </w:r>
    </w:p>
    <w:p w:rsidR="00000000" w:rsidDel="00000000" w:rsidP="00000000" w:rsidRDefault="00000000" w:rsidRPr="00000000" w14:paraId="00000039">
      <w:pPr>
        <w:rPr>
          <w:color w:val="676767"/>
          <w:sz w:val="28"/>
          <w:szCs w:val="28"/>
          <w:highlight w:val="white"/>
        </w:rPr>
      </w:pPr>
      <w:r w:rsidDel="00000000" w:rsidR="00000000" w:rsidRPr="00000000">
        <w:rPr>
          <w:color w:val="676767"/>
          <w:sz w:val="28"/>
          <w:szCs w:val="28"/>
          <w:highlight w:val="white"/>
          <w:rtl w:val="0"/>
        </w:rPr>
        <w:t xml:space="preserve">18(3)(C) or that otherwise pose a risk to an Issuer’s responsibility to</w:t>
      </w:r>
    </w:p>
    <w:p w:rsidR="00000000" w:rsidDel="00000000" w:rsidP="00000000" w:rsidRDefault="00000000" w:rsidRPr="00000000" w14:paraId="0000003A">
      <w:pPr>
        <w:rPr>
          <w:color w:val="676767"/>
          <w:sz w:val="28"/>
          <w:szCs w:val="28"/>
          <w:highlight w:val="white"/>
        </w:rPr>
      </w:pPr>
      <w:r w:rsidDel="00000000" w:rsidR="00000000" w:rsidRPr="00000000">
        <w:rPr>
          <w:color w:val="676767"/>
          <w:sz w:val="28"/>
          <w:szCs w:val="28"/>
          <w:highlight w:val="white"/>
          <w:rtl w:val="0"/>
        </w:rPr>
        <w:t xml:space="preserve">advance P&amp;I payments to security-holders;</w:t>
      </w:r>
    </w:p>
    <w:p w:rsidR="00000000" w:rsidDel="00000000" w:rsidP="00000000" w:rsidRDefault="00000000" w:rsidRPr="00000000" w14:paraId="0000003B">
      <w:pPr>
        <w:rPr>
          <w:color w:val="676767"/>
          <w:sz w:val="28"/>
          <w:szCs w:val="28"/>
          <w:highlight w:val="white"/>
        </w:rPr>
      </w:pPr>
      <w:r w:rsidDel="00000000" w:rsidR="00000000" w:rsidRPr="00000000">
        <w:rPr>
          <w:color w:val="676767"/>
          <w:sz w:val="28"/>
          <w:szCs w:val="28"/>
          <w:highlight w:val="white"/>
          <w:rtl w:val="0"/>
        </w:rPr>
        <w:t xml:space="preserve">2. “Run-off” portfolios, or business models that involve the recurring sale</w:t>
      </w:r>
    </w:p>
    <w:p w:rsidR="00000000" w:rsidDel="00000000" w:rsidP="00000000" w:rsidRDefault="00000000" w:rsidRPr="00000000" w14:paraId="0000003C">
      <w:pPr>
        <w:rPr>
          <w:color w:val="676767"/>
          <w:sz w:val="28"/>
          <w:szCs w:val="28"/>
          <w:highlight w:val="white"/>
        </w:rPr>
      </w:pPr>
      <w:r w:rsidDel="00000000" w:rsidR="00000000" w:rsidRPr="00000000">
        <w:rPr>
          <w:color w:val="676767"/>
          <w:sz w:val="28"/>
          <w:szCs w:val="28"/>
          <w:highlight w:val="white"/>
          <w:rtl w:val="0"/>
        </w:rPr>
        <w:t xml:space="preserve">of substantially all the servicing created by issuance;</w:t>
      </w:r>
    </w:p>
    <w:p w:rsidR="00000000" w:rsidDel="00000000" w:rsidP="00000000" w:rsidRDefault="00000000" w:rsidRPr="00000000" w14:paraId="0000003D">
      <w:pPr>
        <w:rPr>
          <w:color w:val="676767"/>
          <w:sz w:val="28"/>
          <w:szCs w:val="28"/>
          <w:highlight w:val="white"/>
        </w:rPr>
      </w:pPr>
      <w:r w:rsidDel="00000000" w:rsidR="00000000" w:rsidRPr="00000000">
        <w:rPr>
          <w:color w:val="676767"/>
          <w:sz w:val="28"/>
          <w:szCs w:val="28"/>
          <w:highlight w:val="white"/>
          <w:rtl w:val="0"/>
        </w:rPr>
        <w:t xml:space="preserve">3. Heavily-concentrated portfolios; and</w:t>
      </w:r>
    </w:p>
    <w:p w:rsidR="00000000" w:rsidDel="00000000" w:rsidP="00000000" w:rsidRDefault="00000000" w:rsidRPr="00000000" w14:paraId="0000003E">
      <w:pPr>
        <w:rPr>
          <w:color w:val="676767"/>
          <w:sz w:val="28"/>
          <w:szCs w:val="28"/>
          <w:highlight w:val="white"/>
        </w:rPr>
      </w:pPr>
      <w:r w:rsidDel="00000000" w:rsidR="00000000" w:rsidRPr="00000000">
        <w:rPr>
          <w:color w:val="676767"/>
          <w:sz w:val="28"/>
          <w:szCs w:val="28"/>
          <w:highlight w:val="white"/>
          <w:rtl w:val="0"/>
        </w:rPr>
        <w:t xml:space="preserve">4. Recurring issuance of multi-issuer program packages that exhibit</w:t>
      </w:r>
    </w:p>
    <w:p w:rsidR="00000000" w:rsidDel="00000000" w:rsidP="00000000" w:rsidRDefault="00000000" w:rsidRPr="00000000" w14:paraId="0000003F">
      <w:pPr>
        <w:rPr>
          <w:color w:val="676767"/>
          <w:sz w:val="28"/>
          <w:szCs w:val="28"/>
          <w:highlight w:val="white"/>
        </w:rPr>
      </w:pPr>
      <w:r w:rsidDel="00000000" w:rsidR="00000000" w:rsidRPr="00000000">
        <w:rPr>
          <w:color w:val="676767"/>
          <w:sz w:val="28"/>
          <w:szCs w:val="28"/>
          <w:highlight w:val="white"/>
          <w:rtl w:val="0"/>
        </w:rPr>
        <w:t xml:space="preserve">prepayment activity that is substantially different from that of comparable</w:t>
      </w:r>
    </w:p>
    <w:p w:rsidR="00000000" w:rsidDel="00000000" w:rsidP="00000000" w:rsidRDefault="00000000" w:rsidRPr="00000000" w14:paraId="00000040">
      <w:pPr>
        <w:rPr>
          <w:color w:val="676767"/>
          <w:sz w:val="28"/>
          <w:szCs w:val="28"/>
          <w:highlight w:val="white"/>
        </w:rPr>
      </w:pPr>
      <w:r w:rsidDel="00000000" w:rsidR="00000000" w:rsidRPr="00000000">
        <w:rPr>
          <w:color w:val="676767"/>
          <w:sz w:val="28"/>
          <w:szCs w:val="28"/>
          <w:highlight w:val="white"/>
          <w:rtl w:val="0"/>
        </w:rPr>
        <w:t xml:space="preserve">Packages.</w:t>
      </w:r>
    </w:p>
    <w:p w:rsidR="00000000" w:rsidDel="00000000" w:rsidP="00000000" w:rsidRDefault="00000000" w:rsidRPr="00000000" w14:paraId="00000041">
      <w:pPr>
        <w:rPr>
          <w:color w:val="676767"/>
          <w:sz w:val="28"/>
          <w:szCs w:val="28"/>
          <w:highlight w:val="white"/>
        </w:rPr>
      </w:pPr>
      <w:r w:rsidDel="00000000" w:rsidR="00000000" w:rsidRPr="00000000">
        <w:rPr>
          <w:rtl w:val="0"/>
        </w:rPr>
      </w:r>
    </w:p>
    <w:p w:rsidR="00000000" w:rsidDel="00000000" w:rsidP="00000000" w:rsidRDefault="00000000" w:rsidRPr="00000000" w14:paraId="00000042">
      <w:pPr>
        <w:rPr>
          <w:color w:val="676767"/>
          <w:sz w:val="28"/>
          <w:szCs w:val="28"/>
          <w:highlight w:val="white"/>
        </w:rPr>
      </w:pPr>
      <w:r w:rsidDel="00000000" w:rsidR="00000000" w:rsidRPr="00000000">
        <w:rPr>
          <w:rtl w:val="0"/>
        </w:rPr>
      </w:r>
    </w:p>
    <w:p w:rsidR="00000000" w:rsidDel="00000000" w:rsidP="00000000" w:rsidRDefault="00000000" w:rsidRPr="00000000" w14:paraId="00000043">
      <w:pPr>
        <w:rPr>
          <w:color w:val="676767"/>
          <w:sz w:val="28"/>
          <w:szCs w:val="28"/>
          <w:highlight w:val="white"/>
        </w:rPr>
      </w:pPr>
      <w:r w:rsidDel="00000000" w:rsidR="00000000" w:rsidRPr="00000000">
        <w:rPr>
          <w:rtl w:val="0"/>
        </w:rPr>
      </w:r>
    </w:p>
    <w:p w:rsidR="00000000" w:rsidDel="00000000" w:rsidP="00000000" w:rsidRDefault="00000000" w:rsidRPr="00000000" w14:paraId="00000044">
      <w:pPr>
        <w:rPr>
          <w:b w:val="1"/>
          <w:color w:val="676767"/>
          <w:sz w:val="28"/>
          <w:szCs w:val="28"/>
          <w:highlight w:val="white"/>
        </w:rPr>
      </w:pPr>
      <w:r w:rsidDel="00000000" w:rsidR="00000000" w:rsidRPr="00000000">
        <w:rPr>
          <w:b w:val="1"/>
          <w:color w:val="676767"/>
          <w:sz w:val="28"/>
          <w:szCs w:val="28"/>
          <w:highlight w:val="white"/>
          <w:rtl w:val="0"/>
        </w:rPr>
        <w:t xml:space="preserve">February 2018</w:t>
      </w:r>
    </w:p>
    <w:p w:rsidR="00000000" w:rsidDel="00000000" w:rsidP="00000000" w:rsidRDefault="00000000" w:rsidRPr="00000000" w14:paraId="00000045">
      <w:pPr>
        <w:spacing w:after="300" w:lineRule="auto"/>
        <w:rPr>
          <w:color w:val="676767"/>
          <w:sz w:val="24"/>
          <w:szCs w:val="24"/>
          <w:highlight w:val="white"/>
        </w:rPr>
      </w:pPr>
      <w:r w:rsidDel="00000000" w:rsidR="00000000" w:rsidRPr="00000000">
        <w:rPr>
          <w:color w:val="676767"/>
          <w:sz w:val="24"/>
          <w:szCs w:val="24"/>
          <w:highlight w:val="white"/>
          <w:rtl w:val="0"/>
        </w:rPr>
        <w:t xml:space="preserve">In February, Ginnie Mae notified issuers with higher-than-usual prepayment speeds to deliver a corrective action plan. If an issuer is unable to do so, Ginnie Mae said it may impose restrictions on access to multi-issuer pools. An issuer would thereafter only have access to custom pools.</w:t>
      </w:r>
    </w:p>
    <w:p w:rsidR="00000000" w:rsidDel="00000000" w:rsidP="00000000" w:rsidRDefault="00000000" w:rsidRPr="00000000" w14:paraId="00000046">
      <w:pPr>
        <w:spacing w:after="300" w:lineRule="auto"/>
        <w:rPr>
          <w:color w:val="676767"/>
          <w:sz w:val="24"/>
          <w:szCs w:val="24"/>
          <w:highlight w:val="white"/>
        </w:rPr>
      </w:pPr>
      <w:r w:rsidDel="00000000" w:rsidR="00000000" w:rsidRPr="00000000">
        <w:rPr>
          <w:color w:val="676767"/>
          <w:sz w:val="24"/>
          <w:szCs w:val="24"/>
          <w:highlight w:val="white"/>
          <w:rtl w:val="0"/>
        </w:rPr>
        <w:t xml:space="preserve">A person familiar with the matter told Bloomberg that Ginnie Mae has restricted </w:t>
      </w:r>
      <w:r w:rsidDel="00000000" w:rsidR="00000000" w:rsidRPr="00000000">
        <w:rPr>
          <w:b w:val="1"/>
          <w:color w:val="676767"/>
          <w:sz w:val="24"/>
          <w:szCs w:val="24"/>
          <w:highlight w:val="white"/>
          <w:rtl w:val="0"/>
        </w:rPr>
        <w:t xml:space="preserve">NewDay USA</w:t>
      </w:r>
      <w:r w:rsidDel="00000000" w:rsidR="00000000" w:rsidRPr="00000000">
        <w:rPr>
          <w:color w:val="676767"/>
          <w:sz w:val="24"/>
          <w:szCs w:val="24"/>
          <w:highlight w:val="white"/>
          <w:rtl w:val="0"/>
        </w:rPr>
        <w:t xml:space="preserve"> and </w:t>
      </w:r>
      <w:r w:rsidDel="00000000" w:rsidR="00000000" w:rsidRPr="00000000">
        <w:rPr>
          <w:b w:val="1"/>
          <w:color w:val="676767"/>
          <w:sz w:val="24"/>
          <w:szCs w:val="24"/>
          <w:highlight w:val="white"/>
          <w:rtl w:val="0"/>
        </w:rPr>
        <w:t xml:space="preserve">Nations Lending</w:t>
      </w:r>
      <w:r w:rsidDel="00000000" w:rsidR="00000000" w:rsidRPr="00000000">
        <w:rPr>
          <w:color w:val="676767"/>
          <w:sz w:val="24"/>
          <w:szCs w:val="24"/>
          <w:highlight w:val="white"/>
          <w:rtl w:val="0"/>
        </w:rPr>
        <w:t xml:space="preserve"> from issuing Ginnie Mae bonds that are intermingled with loans from other lenders.</w:t>
      </w:r>
    </w:p>
    <w:p w:rsidR="00000000" w:rsidDel="00000000" w:rsidP="00000000" w:rsidRDefault="00000000" w:rsidRPr="00000000" w14:paraId="00000047">
      <w:pPr>
        <w:spacing w:after="300" w:lineRule="auto"/>
        <w:rPr>
          <w:color w:val="676767"/>
          <w:sz w:val="24"/>
          <w:szCs w:val="24"/>
          <w:highlight w:val="white"/>
        </w:rPr>
      </w:pPr>
      <w:r w:rsidDel="00000000" w:rsidR="00000000" w:rsidRPr="00000000">
        <w:rPr>
          <w:color w:val="676767"/>
          <w:sz w:val="24"/>
          <w:szCs w:val="24"/>
          <w:highlight w:val="white"/>
          <w:rtl w:val="0"/>
        </w:rPr>
        <w:t xml:space="preserve">While the two lenders can still issue securities backed by Ginnie Mae despite the restrictions, they can only do so in custom pools where the loans are not mixed with those from other lenders. </w:t>
      </w:r>
    </w:p>
    <w:p w:rsidR="00000000" w:rsidDel="00000000" w:rsidP="00000000" w:rsidRDefault="00000000" w:rsidRPr="00000000" w14:paraId="00000048">
      <w:pPr>
        <w:rPr>
          <w:b w:val="1"/>
          <w:color w:val="676767"/>
          <w:sz w:val="28"/>
          <w:szCs w:val="28"/>
          <w:highlight w:val="white"/>
        </w:rPr>
      </w:pPr>
      <w:r w:rsidDel="00000000" w:rsidR="00000000" w:rsidRPr="00000000">
        <w:rPr>
          <w:rtl w:val="0"/>
        </w:rPr>
      </w:r>
    </w:p>
    <w:p w:rsidR="00000000" w:rsidDel="00000000" w:rsidP="00000000" w:rsidRDefault="00000000" w:rsidRPr="00000000" w14:paraId="00000049">
      <w:pPr>
        <w:rPr>
          <w:color w:val="676767"/>
          <w:sz w:val="28"/>
          <w:szCs w:val="28"/>
          <w:highlight w:val="white"/>
        </w:rPr>
      </w:pPr>
      <w:r w:rsidDel="00000000" w:rsidR="00000000" w:rsidRPr="00000000">
        <w:rPr>
          <w:rtl w:val="0"/>
        </w:rPr>
      </w:r>
    </w:p>
    <w:p w:rsidR="00000000" w:rsidDel="00000000" w:rsidP="00000000" w:rsidRDefault="00000000" w:rsidRPr="00000000" w14:paraId="0000004A">
      <w:pPr>
        <w:rPr>
          <w:b w:val="1"/>
          <w:color w:val="676767"/>
          <w:sz w:val="28"/>
          <w:szCs w:val="28"/>
          <w:highlight w:val="white"/>
        </w:rPr>
      </w:pPr>
      <w:r w:rsidDel="00000000" w:rsidR="00000000" w:rsidRPr="00000000">
        <w:rPr>
          <w:b w:val="1"/>
          <w:color w:val="676767"/>
          <w:sz w:val="28"/>
          <w:szCs w:val="28"/>
          <w:highlight w:val="white"/>
          <w:rtl w:val="0"/>
        </w:rPr>
        <w:t xml:space="preserve">VA Anti-Churning Rule</w:t>
      </w:r>
    </w:p>
    <w:p w:rsidR="00000000" w:rsidDel="00000000" w:rsidP="00000000" w:rsidRDefault="00000000" w:rsidRPr="00000000" w14:paraId="0000004B">
      <w:pPr>
        <w:rPr>
          <w:b w:val="1"/>
          <w:color w:val="676767"/>
          <w:sz w:val="28"/>
          <w:szCs w:val="28"/>
          <w:highlight w:val="white"/>
        </w:rPr>
      </w:pPr>
      <w:r w:rsidDel="00000000" w:rsidR="00000000" w:rsidRPr="00000000">
        <w:rPr>
          <w:rtl w:val="0"/>
        </w:rPr>
      </w:r>
    </w:p>
    <w:p w:rsidR="00000000" w:rsidDel="00000000" w:rsidP="00000000" w:rsidRDefault="00000000" w:rsidRPr="00000000" w14:paraId="0000004C">
      <w:pPr>
        <w:numPr>
          <w:ilvl w:val="0"/>
          <w:numId w:val="1"/>
        </w:numPr>
        <w:ind w:left="720" w:hanging="360"/>
        <w:rPr>
          <w:b w:val="1"/>
          <w:color w:val="676767"/>
          <w:sz w:val="28"/>
          <w:szCs w:val="28"/>
          <w:highlight w:val="white"/>
          <w:u w:val="none"/>
        </w:rPr>
      </w:pPr>
      <w:r w:rsidDel="00000000" w:rsidR="00000000" w:rsidRPr="00000000">
        <w:rPr>
          <w:b w:val="1"/>
          <w:color w:val="676767"/>
          <w:sz w:val="28"/>
          <w:szCs w:val="28"/>
          <w:highlight w:val="white"/>
          <w:rtl w:val="0"/>
        </w:rPr>
        <w:t xml:space="preserve">Net Tangible Benefit: </w:t>
      </w:r>
      <w:r w:rsidDel="00000000" w:rsidR="00000000" w:rsidRPr="00000000">
        <w:rPr>
          <w:color w:val="676767"/>
          <w:sz w:val="28"/>
          <w:szCs w:val="28"/>
          <w:highlight w:val="white"/>
          <w:rtl w:val="0"/>
        </w:rPr>
        <w:t xml:space="preserve">50bps rate reduction for fixed-to-fixed and 200bps for fixed-to-ARM</w:t>
      </w:r>
    </w:p>
    <w:p w:rsidR="00000000" w:rsidDel="00000000" w:rsidP="00000000" w:rsidRDefault="00000000" w:rsidRPr="00000000" w14:paraId="0000004D">
      <w:pPr>
        <w:numPr>
          <w:ilvl w:val="0"/>
          <w:numId w:val="1"/>
        </w:numPr>
        <w:ind w:left="720" w:hanging="360"/>
        <w:rPr>
          <w:b w:val="1"/>
          <w:color w:val="676767"/>
          <w:sz w:val="28"/>
          <w:szCs w:val="28"/>
          <w:highlight w:val="white"/>
          <w:u w:val="none"/>
        </w:rPr>
      </w:pPr>
      <w:r w:rsidDel="00000000" w:rsidR="00000000" w:rsidRPr="00000000">
        <w:rPr>
          <w:b w:val="1"/>
          <w:color w:val="676767"/>
          <w:sz w:val="28"/>
          <w:szCs w:val="28"/>
          <w:highlight w:val="white"/>
          <w:rtl w:val="0"/>
        </w:rPr>
        <w:t xml:space="preserve">Seasoning Requirement: Interest Rate Reduction Refinance Loans (IRRLs) and Cash-outs. </w:t>
      </w:r>
      <w:r w:rsidDel="00000000" w:rsidR="00000000" w:rsidRPr="00000000">
        <w:rPr>
          <w:color w:val="676767"/>
          <w:sz w:val="28"/>
          <w:szCs w:val="28"/>
          <w:highlight w:val="white"/>
          <w:rtl w:val="0"/>
        </w:rPr>
        <w:t xml:space="preserve">210 days between the first payment on the old loan and issuance of VA guarantee on the new loan. Appears to move VA peak ramp into the 9th print.</w:t>
      </w:r>
    </w:p>
    <w:p w:rsidR="00000000" w:rsidDel="00000000" w:rsidP="00000000" w:rsidRDefault="00000000" w:rsidRPr="00000000" w14:paraId="0000004E">
      <w:pPr>
        <w:numPr>
          <w:ilvl w:val="0"/>
          <w:numId w:val="1"/>
        </w:numPr>
        <w:ind w:left="720" w:hanging="360"/>
        <w:rPr>
          <w:b w:val="1"/>
          <w:color w:val="676767"/>
          <w:sz w:val="28"/>
          <w:szCs w:val="28"/>
          <w:highlight w:val="white"/>
          <w:u w:val="none"/>
        </w:rPr>
      </w:pPr>
      <w:r w:rsidDel="00000000" w:rsidR="00000000" w:rsidRPr="00000000">
        <w:rPr>
          <w:b w:val="1"/>
          <w:color w:val="676767"/>
          <w:sz w:val="28"/>
          <w:szCs w:val="28"/>
          <w:highlight w:val="white"/>
          <w:rtl w:val="0"/>
        </w:rPr>
        <w:t xml:space="preserve">Recoupment Period: </w:t>
      </w:r>
      <w:r w:rsidDel="00000000" w:rsidR="00000000" w:rsidRPr="00000000">
        <w:rPr>
          <w:color w:val="676767"/>
          <w:sz w:val="28"/>
          <w:szCs w:val="28"/>
          <w:highlight w:val="white"/>
          <w:rtl w:val="0"/>
        </w:rPr>
        <w:t xml:space="preserve">36 months</w:t>
      </w:r>
    </w:p>
    <w:p w:rsidR="00000000" w:rsidDel="00000000" w:rsidP="00000000" w:rsidRDefault="00000000" w:rsidRPr="00000000" w14:paraId="0000004F">
      <w:pPr>
        <w:rPr>
          <w:b w:val="1"/>
          <w:color w:val="676767"/>
          <w:sz w:val="28"/>
          <w:szCs w:val="28"/>
          <w:highlight w:val="white"/>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5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Among other factors, increased homeowner equity may have contributed to the large growth in VA Cash-Out refinances since 2011, most especially in 2015.</w:t>
      </w:r>
    </w:p>
  </w:footnote>
  <w:footnote w:id="1">
    <w:p w:rsidR="00000000" w:rsidDel="00000000" w:rsidP="00000000" w:rsidRDefault="00000000" w:rsidRPr="00000000" w14:paraId="0000005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 money out of pocket” may mean that all closing costs are rolled into the new loan or that the interest rate is high enough that the lender covers the costs of providing the refinance. The IRRRL can only be done if the borrower is refinancing from a VA loan to another VA loan.</w:t>
      </w:r>
    </w:p>
  </w:footnote>
  <w:footnote w:id="2">
    <w:p w:rsidR="00000000" w:rsidDel="00000000" w:rsidP="00000000" w:rsidRDefault="00000000" w:rsidRPr="00000000" w14:paraId="0000005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New Day, Freedom, Lakeview, Loan Depot, Carrington, Pacific Union, and Money Source.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