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Projecting Refinance Eligibility on Forward Interest Rate Paths</w:t>
      </w:r>
    </w:p>
    <w:p w:rsidR="00000000" w:rsidDel="00000000" w:rsidP="00000000" w:rsidRDefault="00000000" w:rsidRPr="00000000" w14:paraId="00000002">
      <w:pPr>
        <w:rPr>
          <w:color w:val="222222"/>
          <w:sz w:val="24"/>
          <w:szCs w:val="24"/>
          <w:highlight w:val="white"/>
        </w:rPr>
      </w:pPr>
      <w:r w:rsidDel="00000000" w:rsidR="00000000" w:rsidRPr="00000000">
        <w:rPr>
          <w:rtl w:val="0"/>
        </w:rPr>
      </w:r>
    </w:p>
    <w:p w:rsidR="00000000" w:rsidDel="00000000" w:rsidP="00000000" w:rsidRDefault="00000000" w:rsidRPr="00000000" w14:paraId="00000003">
      <w:pPr>
        <w:rPr>
          <w:color w:val="222222"/>
          <w:sz w:val="24"/>
          <w:szCs w:val="24"/>
          <w:highlight w:val="white"/>
        </w:rPr>
      </w:pPr>
      <w:r w:rsidDel="00000000" w:rsidR="00000000" w:rsidRPr="00000000">
        <w:rPr>
          <w:color w:val="222222"/>
          <w:sz w:val="24"/>
          <w:szCs w:val="24"/>
          <w:highlight w:val="white"/>
          <w:rtl w:val="0"/>
        </w:rPr>
        <w:t xml:space="preserve">The old refi eligibility (RE) algorithm is based on relative changes in CLTV:</w:t>
      </w:r>
    </w:p>
    <w:p w:rsidR="00000000" w:rsidDel="00000000" w:rsidP="00000000" w:rsidRDefault="00000000" w:rsidRPr="00000000" w14:paraId="00000004">
      <w:pPr>
        <w:rPr>
          <w:color w:val="222222"/>
          <w:sz w:val="24"/>
          <w:szCs w:val="24"/>
          <w:highlight w:val="white"/>
        </w:rPr>
      </w:pPr>
      <w:r w:rsidDel="00000000" w:rsidR="00000000" w:rsidRPr="00000000">
        <w:rPr>
          <w:rtl w:val="0"/>
        </w:rPr>
      </w:r>
    </w:p>
    <w:p w:rsidR="00000000" w:rsidDel="00000000" w:rsidP="00000000" w:rsidRDefault="00000000" w:rsidRPr="00000000" w14:paraId="00000005">
      <w:pPr>
        <w:rPr>
          <w:color w:val="222222"/>
          <w:sz w:val="24"/>
          <w:szCs w:val="24"/>
          <w:highlight w:val="white"/>
        </w:rPr>
      </w:pPr>
      <w:r w:rsidDel="00000000" w:rsidR="00000000" w:rsidRPr="00000000">
        <w:rPr>
          <w:color w:val="222222"/>
          <w:sz w:val="24"/>
          <w:szCs w:val="24"/>
          <w:highlight w:val="white"/>
          <w:rtl w:val="0"/>
        </w:rPr>
        <w:t xml:space="preserve">1. Calculate CLTV relative changes: D_CLTV[i] = (CLTV[i] - CLTV[i-1]) / CLTV[i-1]</w:t>
      </w:r>
    </w:p>
    <w:p w:rsidR="00000000" w:rsidDel="00000000" w:rsidP="00000000" w:rsidRDefault="00000000" w:rsidRPr="00000000" w14:paraId="00000006">
      <w:pPr>
        <w:rPr>
          <w:color w:val="222222"/>
          <w:sz w:val="24"/>
          <w:szCs w:val="24"/>
          <w:highlight w:val="white"/>
        </w:rPr>
      </w:pPr>
      <w:r w:rsidDel="00000000" w:rsidR="00000000" w:rsidRPr="00000000">
        <w:rPr>
          <w:rtl w:val="0"/>
        </w:rPr>
      </w:r>
    </w:p>
    <w:p w:rsidR="00000000" w:rsidDel="00000000" w:rsidP="00000000" w:rsidRDefault="00000000" w:rsidRPr="00000000" w14:paraId="00000007">
      <w:pPr>
        <w:rPr>
          <w:color w:val="222222"/>
          <w:sz w:val="24"/>
          <w:szCs w:val="24"/>
          <w:highlight w:val="white"/>
        </w:rPr>
      </w:pPr>
      <w:r w:rsidDel="00000000" w:rsidR="00000000" w:rsidRPr="00000000">
        <w:rPr>
          <w:color w:val="222222"/>
          <w:sz w:val="24"/>
          <w:szCs w:val="24"/>
          <w:highlight w:val="white"/>
          <w:rtl w:val="0"/>
        </w:rPr>
        <w:t xml:space="preserve">2. Calculate RE at time i: RE[i] = (100.0 - RE[i-1]) * (-10.0) * D_CLTV[i] + RE[i-1]</w:t>
      </w:r>
    </w:p>
    <w:p w:rsidR="00000000" w:rsidDel="00000000" w:rsidP="00000000" w:rsidRDefault="00000000" w:rsidRPr="00000000" w14:paraId="00000008">
      <w:pPr>
        <w:rPr>
          <w:color w:val="222222"/>
          <w:sz w:val="24"/>
          <w:szCs w:val="24"/>
          <w:highlight w:val="white"/>
        </w:rPr>
      </w:pPr>
      <w:r w:rsidDel="00000000" w:rsidR="00000000" w:rsidRPr="00000000">
        <w:rPr>
          <w:rtl w:val="0"/>
        </w:rPr>
      </w:r>
    </w:p>
    <w:p w:rsidR="00000000" w:rsidDel="00000000" w:rsidP="00000000" w:rsidRDefault="00000000" w:rsidRPr="00000000" w14:paraId="00000009">
      <w:pPr>
        <w:rPr>
          <w:color w:val="222222"/>
          <w:sz w:val="24"/>
          <w:szCs w:val="24"/>
          <w:highlight w:val="white"/>
        </w:rPr>
      </w:pPr>
      <w:r w:rsidDel="00000000" w:rsidR="00000000" w:rsidRPr="00000000">
        <w:rPr>
          <w:color w:val="222222"/>
          <w:sz w:val="24"/>
          <w:szCs w:val="24"/>
          <w:highlight w:val="white"/>
          <w:rtl w:val="0"/>
        </w:rPr>
        <w:t xml:space="preserve">3. Bound RE at 0 and 100.</w:t>
      </w:r>
    </w:p>
    <w:p w:rsidR="00000000" w:rsidDel="00000000" w:rsidP="00000000" w:rsidRDefault="00000000" w:rsidRPr="00000000" w14:paraId="0000000A">
      <w:pPr>
        <w:rPr>
          <w:color w:val="222222"/>
          <w:sz w:val="24"/>
          <w:szCs w:val="24"/>
          <w:highlight w:val="white"/>
        </w:rPr>
      </w:pPr>
      <w:r w:rsidDel="00000000" w:rsidR="00000000" w:rsidRPr="00000000">
        <w:rPr>
          <w:rtl w:val="0"/>
        </w:rPr>
      </w:r>
    </w:p>
    <w:p w:rsidR="00000000" w:rsidDel="00000000" w:rsidP="00000000" w:rsidRDefault="00000000" w:rsidRPr="00000000" w14:paraId="0000000B">
      <w:pPr>
        <w:rPr>
          <w:color w:val="222222"/>
          <w:sz w:val="24"/>
          <w:szCs w:val="24"/>
          <w:highlight w:val="white"/>
        </w:rPr>
      </w:pPr>
      <w:r w:rsidDel="00000000" w:rsidR="00000000" w:rsidRPr="00000000">
        <w:rPr>
          <w:color w:val="222222"/>
          <w:sz w:val="24"/>
          <w:szCs w:val="24"/>
          <w:highlight w:val="white"/>
          <w:rtl w:val="0"/>
        </w:rPr>
        <w:t xml:space="preserve">The improved RE algorithm is as follows:</w:t>
      </w:r>
    </w:p>
    <w:p w:rsidR="00000000" w:rsidDel="00000000" w:rsidP="00000000" w:rsidRDefault="00000000" w:rsidRPr="00000000" w14:paraId="0000000C">
      <w:pPr>
        <w:rPr>
          <w:color w:val="222222"/>
          <w:sz w:val="24"/>
          <w:szCs w:val="24"/>
          <w:highlight w:val="white"/>
        </w:rPr>
      </w:pPr>
      <w:r w:rsidDel="00000000" w:rsidR="00000000" w:rsidRPr="00000000">
        <w:rPr>
          <w:rtl w:val="0"/>
        </w:rPr>
      </w:r>
    </w:p>
    <w:p w:rsidR="00000000" w:rsidDel="00000000" w:rsidP="00000000" w:rsidRDefault="00000000" w:rsidRPr="00000000" w14:paraId="0000000D">
      <w:pPr>
        <w:numPr>
          <w:ilvl w:val="0"/>
          <w:numId w:val="1"/>
        </w:numPr>
        <w:ind w:left="720" w:hanging="360"/>
        <w:rPr>
          <w:color w:val="222222"/>
          <w:sz w:val="24"/>
          <w:szCs w:val="24"/>
          <w:highlight w:val="white"/>
        </w:rPr>
      </w:pPr>
      <w:r w:rsidDel="00000000" w:rsidR="00000000" w:rsidRPr="00000000">
        <w:rPr>
          <w:color w:val="222222"/>
          <w:sz w:val="24"/>
          <w:szCs w:val="24"/>
          <w:highlight w:val="white"/>
          <w:rtl w:val="0"/>
        </w:rPr>
        <w:t xml:space="preserve">Estimate a spline function </w:t>
      </w:r>
      <w:r w:rsidDel="00000000" w:rsidR="00000000" w:rsidRPr="00000000">
        <w:rPr>
          <w:rFonts w:ascii="Courier New" w:cs="Courier New" w:eastAsia="Courier New" w:hAnsi="Courier New"/>
          <w:color w:val="222222"/>
          <w:sz w:val="24"/>
          <w:szCs w:val="24"/>
          <w:highlight w:val="white"/>
          <w:rtl w:val="0"/>
        </w:rPr>
        <w:t xml:space="preserve">s</w:t>
      </w:r>
      <w:r w:rsidDel="00000000" w:rsidR="00000000" w:rsidRPr="00000000">
        <w:rPr>
          <w:color w:val="222222"/>
          <w:sz w:val="24"/>
          <w:szCs w:val="24"/>
          <w:highlight w:val="white"/>
          <w:rtl w:val="0"/>
        </w:rPr>
        <w:t xml:space="preserve"> such that </w:t>
      </w:r>
      <w:r w:rsidDel="00000000" w:rsidR="00000000" w:rsidRPr="00000000">
        <w:rPr>
          <w:rFonts w:ascii="Courier New" w:cs="Courier New" w:eastAsia="Courier New" w:hAnsi="Courier New"/>
          <w:color w:val="222222"/>
          <w:sz w:val="24"/>
          <w:szCs w:val="24"/>
          <w:highlight w:val="white"/>
          <w:rtl w:val="0"/>
        </w:rPr>
        <w:t xml:space="preserve">RE = s(cltv)</w:t>
      </w:r>
      <w:r w:rsidDel="00000000" w:rsidR="00000000" w:rsidRPr="00000000">
        <w:rPr>
          <w:color w:val="222222"/>
          <w:sz w:val="24"/>
          <w:szCs w:val="24"/>
          <w:highlight w:val="white"/>
          <w:rtl w:val="0"/>
        </w:rPr>
        <w:t xml:space="preserve"> on an in-sample data set</w:t>
      </w:r>
    </w:p>
    <w:p w:rsidR="00000000" w:rsidDel="00000000" w:rsidP="00000000" w:rsidRDefault="00000000" w:rsidRPr="00000000" w14:paraId="0000000E">
      <w:pPr>
        <w:numPr>
          <w:ilvl w:val="0"/>
          <w:numId w:val="1"/>
        </w:numPr>
        <w:ind w:left="720" w:hanging="360"/>
        <w:rPr>
          <w:color w:val="222222"/>
          <w:sz w:val="24"/>
          <w:szCs w:val="24"/>
          <w:highlight w:val="white"/>
          <w:u w:val="none"/>
        </w:rPr>
      </w:pPr>
      <w:r w:rsidDel="00000000" w:rsidR="00000000" w:rsidRPr="00000000">
        <w:rPr>
          <w:color w:val="222222"/>
          <w:sz w:val="24"/>
          <w:szCs w:val="24"/>
          <w:highlight w:val="white"/>
          <w:rtl w:val="0"/>
        </w:rPr>
        <w:t xml:space="preserve">Obtain the most recent actual values of CLTV and refinance eligibility: </w:t>
      </w:r>
      <w:r w:rsidDel="00000000" w:rsidR="00000000" w:rsidRPr="00000000">
        <w:rPr>
          <w:rFonts w:ascii="Courier New" w:cs="Courier New" w:eastAsia="Courier New" w:hAnsi="Courier New"/>
          <w:color w:val="222222"/>
          <w:sz w:val="24"/>
          <w:szCs w:val="24"/>
          <w:highlight w:val="white"/>
          <w:rtl w:val="0"/>
        </w:rPr>
        <w:t xml:space="preserve">(CLTV*[0], RE*[0])</w:t>
      </w:r>
      <w:r w:rsidDel="00000000" w:rsidR="00000000" w:rsidRPr="00000000">
        <w:rPr>
          <w:color w:val="222222"/>
          <w:sz w:val="24"/>
          <w:szCs w:val="24"/>
          <w:highlight w:val="white"/>
          <w:rtl w:val="0"/>
        </w:rPr>
        <w:t xml:space="preserve">. The * is used to denote an actual value as opposed to a model derived one.</w:t>
      </w:r>
    </w:p>
    <w:p w:rsidR="00000000" w:rsidDel="00000000" w:rsidP="00000000" w:rsidRDefault="00000000" w:rsidRPr="00000000" w14:paraId="0000000F">
      <w:pPr>
        <w:numPr>
          <w:ilvl w:val="0"/>
          <w:numId w:val="1"/>
        </w:numPr>
        <w:ind w:left="720" w:hanging="360"/>
        <w:rPr>
          <w:color w:val="222222"/>
          <w:sz w:val="24"/>
          <w:szCs w:val="24"/>
          <w:highlight w:val="white"/>
          <w:u w:val="none"/>
        </w:rPr>
      </w:pPr>
      <w:r w:rsidDel="00000000" w:rsidR="00000000" w:rsidRPr="00000000">
        <w:rPr>
          <w:rFonts w:ascii="Courier New" w:cs="Courier New" w:eastAsia="Courier New" w:hAnsi="Courier New"/>
          <w:color w:val="222222"/>
          <w:sz w:val="24"/>
          <w:szCs w:val="24"/>
          <w:highlight w:val="white"/>
          <w:rtl w:val="0"/>
        </w:rPr>
        <w:t xml:space="preserve">RE[i] = [RE*[0] - s(CLTV*[0])] * a^(i-1) + s(CLTV*[i])</w:t>
      </w:r>
      <w:r w:rsidDel="00000000" w:rsidR="00000000" w:rsidRPr="00000000">
        <w:rPr>
          <w:color w:val="222222"/>
          <w:sz w:val="24"/>
          <w:szCs w:val="24"/>
          <w:highlight w:val="white"/>
          <w:rtl w:val="0"/>
        </w:rPr>
        <w:t xml:space="preserve"> for </w:t>
      </w:r>
      <w:r w:rsidDel="00000000" w:rsidR="00000000" w:rsidRPr="00000000">
        <w:rPr>
          <w:rFonts w:ascii="Courier New" w:cs="Courier New" w:eastAsia="Courier New" w:hAnsi="Courier New"/>
          <w:color w:val="222222"/>
          <w:sz w:val="24"/>
          <w:szCs w:val="24"/>
          <w:highlight w:val="white"/>
          <w:rtl w:val="0"/>
        </w:rPr>
        <w:t xml:space="preserve">i &gt;= 1</w:t>
      </w:r>
      <w:r w:rsidDel="00000000" w:rsidR="00000000" w:rsidRPr="00000000">
        <w:rPr>
          <w:color w:val="222222"/>
          <w:sz w:val="24"/>
          <w:szCs w:val="24"/>
          <w:highlight w:val="white"/>
          <w:rtl w:val="0"/>
        </w:rPr>
        <w:t xml:space="preserve">. Here </w:t>
      </w:r>
      <w:r w:rsidDel="00000000" w:rsidR="00000000" w:rsidRPr="00000000">
        <w:rPr>
          <w:rFonts w:ascii="Courier New" w:cs="Courier New" w:eastAsia="Courier New" w:hAnsi="Courier New"/>
          <w:color w:val="222222"/>
          <w:sz w:val="24"/>
          <w:szCs w:val="24"/>
          <w:highlight w:val="white"/>
          <w:rtl w:val="0"/>
        </w:rPr>
        <w:t xml:space="preserve">0 &lt; a &lt; 1</w:t>
      </w:r>
      <w:r w:rsidDel="00000000" w:rsidR="00000000" w:rsidRPr="00000000">
        <w:rPr>
          <w:color w:val="222222"/>
          <w:sz w:val="24"/>
          <w:szCs w:val="24"/>
          <w:highlight w:val="white"/>
          <w:rtl w:val="0"/>
        </w:rPr>
        <w:t xml:space="preserve">. </w:t>
      </w:r>
    </w:p>
    <w:p w:rsidR="00000000" w:rsidDel="00000000" w:rsidP="00000000" w:rsidRDefault="00000000" w:rsidRPr="00000000" w14:paraId="00000010">
      <w:pPr>
        <w:rPr>
          <w:color w:val="222222"/>
          <w:sz w:val="24"/>
          <w:szCs w:val="24"/>
          <w:highlight w:val="white"/>
        </w:rPr>
      </w:pPr>
      <w:r w:rsidDel="00000000" w:rsidR="00000000" w:rsidRPr="00000000">
        <w:rPr>
          <w:rtl w:val="0"/>
        </w:rPr>
      </w:r>
    </w:p>
    <w:p w:rsidR="00000000" w:rsidDel="00000000" w:rsidP="00000000" w:rsidRDefault="00000000" w:rsidRPr="00000000" w14:paraId="00000011">
      <w:pPr>
        <w:rPr>
          <w:color w:val="222222"/>
          <w:sz w:val="24"/>
          <w:szCs w:val="24"/>
          <w:highlight w:val="white"/>
        </w:rPr>
      </w:pPr>
      <w:r w:rsidDel="00000000" w:rsidR="00000000" w:rsidRPr="00000000">
        <w:rPr>
          <w:color w:val="222222"/>
          <w:sz w:val="24"/>
          <w:szCs w:val="24"/>
          <w:highlight w:val="white"/>
          <w:rtl w:val="0"/>
        </w:rPr>
        <w:t xml:space="preserve">The idea behind the algorithm is as follows. An initial approach would be to just have </w:t>
      </w:r>
      <w:r w:rsidDel="00000000" w:rsidR="00000000" w:rsidRPr="00000000">
        <w:rPr>
          <w:rFonts w:ascii="Courier New" w:cs="Courier New" w:eastAsia="Courier New" w:hAnsi="Courier New"/>
          <w:color w:val="222222"/>
          <w:sz w:val="24"/>
          <w:szCs w:val="24"/>
          <w:highlight w:val="white"/>
          <w:rtl w:val="0"/>
        </w:rPr>
        <w:t xml:space="preserve">RE[i] = s(CLTV[i])</w:t>
      </w:r>
      <w:r w:rsidDel="00000000" w:rsidR="00000000" w:rsidRPr="00000000">
        <w:rPr>
          <w:color w:val="222222"/>
          <w:sz w:val="24"/>
          <w:szCs w:val="24"/>
          <w:highlight w:val="white"/>
          <w:rtl w:val="0"/>
        </w:rPr>
        <w:t xml:space="preserve">. However, since we have an indication of the model’s bias by looking at </w:t>
      </w:r>
      <w:r w:rsidDel="00000000" w:rsidR="00000000" w:rsidRPr="00000000">
        <w:rPr>
          <w:rFonts w:ascii="Courier New" w:cs="Courier New" w:eastAsia="Courier New" w:hAnsi="Courier New"/>
          <w:color w:val="222222"/>
          <w:sz w:val="24"/>
          <w:szCs w:val="24"/>
          <w:highlight w:val="white"/>
          <w:rtl w:val="0"/>
        </w:rPr>
        <w:t xml:space="preserve">[RE*[0] - s(CLTV*[0])]</w:t>
      </w:r>
      <w:r w:rsidDel="00000000" w:rsidR="00000000" w:rsidRPr="00000000">
        <w:rPr>
          <w:color w:val="222222"/>
          <w:sz w:val="24"/>
          <w:szCs w:val="24"/>
          <w:highlight w:val="white"/>
          <w:rtl w:val="0"/>
        </w:rPr>
        <w:t xml:space="preserve">, it makes sense to adjust the forecast by the amount of this bias. Finally, we should assume that this bias decays to 0 exponentially over time as, over the long run, the model’s projections converge to the “true” value of RE. </w:t>
      </w:r>
    </w:p>
    <w:p w:rsidR="00000000" w:rsidDel="00000000" w:rsidP="00000000" w:rsidRDefault="00000000" w:rsidRPr="00000000" w14:paraId="00000012">
      <w:pPr>
        <w:rPr>
          <w:color w:val="222222"/>
          <w:sz w:val="24"/>
          <w:szCs w:val="24"/>
          <w:highlight w:val="white"/>
        </w:rPr>
      </w:pPr>
      <w:r w:rsidDel="00000000" w:rsidR="00000000" w:rsidRPr="00000000">
        <w:rPr>
          <w:rtl w:val="0"/>
        </w:rPr>
      </w:r>
    </w:p>
    <w:p w:rsidR="00000000" w:rsidDel="00000000" w:rsidP="00000000" w:rsidRDefault="00000000" w:rsidRPr="00000000" w14:paraId="00000013">
      <w:pPr>
        <w:rPr>
          <w:color w:val="222222"/>
          <w:sz w:val="24"/>
          <w:szCs w:val="24"/>
          <w:highlight w:val="white"/>
        </w:rPr>
      </w:pPr>
      <w:r w:rsidDel="00000000" w:rsidR="00000000" w:rsidRPr="00000000">
        <w:rPr>
          <w:color w:val="222222"/>
          <w:sz w:val="24"/>
          <w:szCs w:val="24"/>
          <w:highlight w:val="white"/>
          <w:rtl w:val="0"/>
        </w:rPr>
        <w:t xml:space="preserve">The spline </w:t>
      </w:r>
      <w:r w:rsidDel="00000000" w:rsidR="00000000" w:rsidRPr="00000000">
        <w:rPr>
          <w:rFonts w:ascii="Courier New" w:cs="Courier New" w:eastAsia="Courier New" w:hAnsi="Courier New"/>
          <w:color w:val="222222"/>
          <w:sz w:val="24"/>
          <w:szCs w:val="24"/>
          <w:highlight w:val="white"/>
          <w:rtl w:val="0"/>
        </w:rPr>
        <w:t xml:space="preserve">s</w:t>
      </w:r>
      <w:r w:rsidDel="00000000" w:rsidR="00000000" w:rsidRPr="00000000">
        <w:rPr>
          <w:color w:val="222222"/>
          <w:sz w:val="24"/>
          <w:szCs w:val="24"/>
          <w:highlight w:val="white"/>
          <w:rtl w:val="0"/>
        </w:rPr>
        <w:t xml:space="preserve"> is estimated on outstanding FHLMC pool-level data from 2009-06 to 2016-12. This notion of refi eligibility only includes conventional and FHA eligibility. Including HARP eligibility would bias these estimates significantly since there is technically no CLTV and FICO cutoff for HARPable loans.</w:t>
      </w:r>
    </w:p>
    <w:p w:rsidR="00000000" w:rsidDel="00000000" w:rsidP="00000000" w:rsidRDefault="00000000" w:rsidRPr="00000000" w14:paraId="00000014">
      <w:pPr>
        <w:rPr>
          <w:color w:val="222222"/>
          <w:sz w:val="24"/>
          <w:szCs w:val="24"/>
          <w:highlight w:val="white"/>
        </w:rPr>
      </w:pPr>
      <w:r w:rsidDel="00000000" w:rsidR="00000000" w:rsidRPr="00000000">
        <w:rPr>
          <w:rtl w:val="0"/>
        </w:rPr>
      </w:r>
    </w:p>
    <w:p w:rsidR="00000000" w:rsidDel="00000000" w:rsidP="00000000" w:rsidRDefault="00000000" w:rsidRPr="00000000" w14:paraId="00000015">
      <w:pPr>
        <w:rPr>
          <w:color w:val="222222"/>
          <w:sz w:val="24"/>
          <w:szCs w:val="24"/>
          <w:highlight w:val="white"/>
        </w:rPr>
      </w:pPr>
      <w:r w:rsidDel="00000000" w:rsidR="00000000" w:rsidRPr="00000000">
        <w:rPr>
          <w:color w:val="222222"/>
          <w:sz w:val="24"/>
          <w:szCs w:val="24"/>
          <w:highlight w:val="white"/>
          <w:rtl w:val="0"/>
        </w:rPr>
        <w:t xml:space="preserve">The parameter</w:t>
      </w:r>
      <w:r w:rsidDel="00000000" w:rsidR="00000000" w:rsidRPr="00000000">
        <w:rPr>
          <w:rFonts w:ascii="Courier New" w:cs="Courier New" w:eastAsia="Courier New" w:hAnsi="Courier New"/>
          <w:color w:val="222222"/>
          <w:sz w:val="24"/>
          <w:szCs w:val="24"/>
          <w:highlight w:val="white"/>
          <w:rtl w:val="0"/>
        </w:rPr>
        <w:t xml:space="preserve"> a</w:t>
      </w:r>
      <w:r w:rsidDel="00000000" w:rsidR="00000000" w:rsidRPr="00000000">
        <w:rPr>
          <w:color w:val="222222"/>
          <w:sz w:val="24"/>
          <w:szCs w:val="24"/>
          <w:highlight w:val="white"/>
          <w:rtl w:val="0"/>
        </w:rPr>
        <w:t xml:space="preserve"> is estimated by fitting to a data set consisting of projected and actual refi eligibilities for a collection of specified pool cohorts. In our estimate, </w:t>
      </w:r>
      <w:r w:rsidDel="00000000" w:rsidR="00000000" w:rsidRPr="00000000">
        <w:rPr>
          <w:rFonts w:ascii="Courier New" w:cs="Courier New" w:eastAsia="Courier New" w:hAnsi="Courier New"/>
          <w:color w:val="222222"/>
          <w:sz w:val="24"/>
          <w:szCs w:val="24"/>
          <w:highlight w:val="white"/>
          <w:rtl w:val="0"/>
        </w:rPr>
        <w:t xml:space="preserve">a = 0.91</w:t>
      </w:r>
      <w:r w:rsidDel="00000000" w:rsidR="00000000" w:rsidRPr="00000000">
        <w:rPr>
          <w:color w:val="222222"/>
          <w:sz w:val="24"/>
          <w:szCs w:val="24"/>
          <w:highlight w:val="white"/>
          <w:rtl w:val="0"/>
        </w:rPr>
        <w:t xml:space="preserve">. The CLTV curve is calibrated based on FHLMC pool level data originated after 2009-05. </w:t>
      </w:r>
    </w:p>
    <w:p w:rsidR="00000000" w:rsidDel="00000000" w:rsidP="00000000" w:rsidRDefault="00000000" w:rsidRPr="00000000" w14:paraId="00000016">
      <w:pPr>
        <w:rPr>
          <w:color w:val="222222"/>
          <w:sz w:val="24"/>
          <w:szCs w:val="24"/>
          <w:highlight w:val="white"/>
        </w:rPr>
      </w:pPr>
      <w:r w:rsidDel="00000000" w:rsidR="00000000" w:rsidRPr="00000000">
        <w:rPr>
          <w:color w:val="222222"/>
          <w:sz w:val="24"/>
          <w:szCs w:val="24"/>
          <w:highlight w:val="white"/>
          <w:rtl w:val="0"/>
        </w:rPr>
        <w:t xml:space="preserve">When we build the curve, we only consider the conventional eligibility and FHA eligibility. HARP eligibility is not included in this calculation because the program is scheduled to sunset in the near future and it technically has not CLTV restrictions.</w:t>
      </w:r>
    </w:p>
    <w:p w:rsidR="00000000" w:rsidDel="00000000" w:rsidP="00000000" w:rsidRDefault="00000000" w:rsidRPr="00000000" w14:paraId="00000017">
      <w:pPr>
        <w:rPr>
          <w:color w:val="222222"/>
          <w:sz w:val="24"/>
          <w:szCs w:val="24"/>
          <w:highlight w:val="white"/>
        </w:rPr>
      </w:pPr>
      <w:r w:rsidDel="00000000" w:rsidR="00000000" w:rsidRPr="00000000">
        <w:rPr>
          <w:rtl w:val="0"/>
        </w:rPr>
      </w:r>
    </w:p>
    <w:p w:rsidR="00000000" w:rsidDel="00000000" w:rsidP="00000000" w:rsidRDefault="00000000" w:rsidRPr="00000000" w14:paraId="00000018">
      <w:pPr>
        <w:rPr>
          <w:color w:val="222222"/>
          <w:sz w:val="24"/>
          <w:szCs w:val="24"/>
          <w:highlight w:val="white"/>
        </w:rPr>
      </w:pPr>
      <w:r w:rsidDel="00000000" w:rsidR="00000000" w:rsidRPr="00000000">
        <w:rPr>
          <w:color w:val="222222"/>
          <w:sz w:val="24"/>
          <w:szCs w:val="24"/>
          <w:highlight w:val="white"/>
          <w:rtl w:val="0"/>
        </w:rPr>
        <w:t xml:space="preserve">The fit of the new model versus the old one is summarized in the graph below. The RMSE is almost halved by using the new model versus the old model with the majority of the improvement coming from better tracking for CLTVs &gt; 100%. However, for CLTVs &lt; 95%, the RE projected by the model is consistently less than what we actually see in the data.</w:t>
      </w:r>
    </w:p>
    <w:p w:rsidR="00000000" w:rsidDel="00000000" w:rsidP="00000000" w:rsidRDefault="00000000" w:rsidRPr="00000000" w14:paraId="00000019">
      <w:pPr>
        <w:rPr>
          <w:color w:val="222222"/>
          <w:sz w:val="24"/>
          <w:szCs w:val="24"/>
          <w:highlight w:val="white"/>
        </w:rPr>
      </w:pPr>
      <w:r w:rsidDel="00000000" w:rsidR="00000000" w:rsidRPr="00000000">
        <w:rPr>
          <w:rtl w:val="0"/>
        </w:rPr>
      </w:r>
    </w:p>
    <w:p w:rsidR="00000000" w:rsidDel="00000000" w:rsidP="00000000" w:rsidRDefault="00000000" w:rsidRPr="00000000" w14:paraId="0000001A">
      <w:pPr>
        <w:rPr>
          <w:b w:val="1"/>
          <w:color w:val="222222"/>
          <w:sz w:val="24"/>
          <w:szCs w:val="24"/>
          <w:highlight w:val="white"/>
        </w:rPr>
      </w:pPr>
      <w:r w:rsidDel="00000000" w:rsidR="00000000" w:rsidRPr="00000000">
        <w:rPr>
          <w:b w:val="1"/>
          <w:color w:val="222222"/>
          <w:sz w:val="24"/>
          <w:szCs w:val="24"/>
          <w:highlight w:val="white"/>
          <w:rtl w:val="0"/>
        </w:rPr>
        <w:t xml:space="preserve">2017-4-27 </w:t>
      </w:r>
    </w:p>
    <w:p w:rsidR="00000000" w:rsidDel="00000000" w:rsidP="00000000" w:rsidRDefault="00000000" w:rsidRPr="00000000" w14:paraId="0000001B">
      <w:pPr>
        <w:rPr>
          <w:color w:val="222222"/>
          <w:sz w:val="24"/>
          <w:szCs w:val="24"/>
          <w:highlight w:val="white"/>
        </w:rPr>
      </w:pPr>
      <w:r w:rsidDel="00000000" w:rsidR="00000000" w:rsidRPr="00000000">
        <w:rPr>
          <w:color w:val="222222"/>
          <w:sz w:val="24"/>
          <w:szCs w:val="24"/>
          <w:highlight w:val="white"/>
          <w:rtl w:val="0"/>
        </w:rPr>
        <w:t xml:space="preserve">The fit was redone using pools that were originated after 2009-06 and that had LL data available (as before, HARP-eligible pools were excluded). This leads to better estimates because refi eligibility calculations at the pool-level are less accurate. See graph below</w:t>
      </w:r>
    </w:p>
    <w:p w:rsidR="00000000" w:rsidDel="00000000" w:rsidP="00000000" w:rsidRDefault="00000000" w:rsidRPr="00000000" w14:paraId="0000001C">
      <w:pPr>
        <w:rPr>
          <w:color w:val="222222"/>
          <w:sz w:val="24"/>
          <w:szCs w:val="24"/>
          <w:highlight w:val="white"/>
        </w:rPr>
      </w:pPr>
      <w:r w:rsidDel="00000000" w:rsidR="00000000" w:rsidRPr="00000000">
        <w:rPr>
          <w:rtl w:val="0"/>
        </w:rPr>
      </w:r>
    </w:p>
    <w:p w:rsidR="00000000" w:rsidDel="00000000" w:rsidP="00000000" w:rsidRDefault="00000000" w:rsidRPr="00000000" w14:paraId="0000001D">
      <w:pPr>
        <w:rPr>
          <w:color w:val="222222"/>
          <w:sz w:val="24"/>
          <w:szCs w:val="24"/>
          <w:highlight w:val="white"/>
        </w:rPr>
      </w:pPr>
      <w:hyperlink r:id="rId6">
        <w:r w:rsidDel="00000000" w:rsidR="00000000" w:rsidRPr="00000000">
          <w:rPr>
            <w:color w:val="1155cc"/>
            <w:sz w:val="24"/>
            <w:szCs w:val="24"/>
            <w:highlight w:val="white"/>
            <w:u w:val="single"/>
            <w:rtl w:val="0"/>
          </w:rPr>
          <w:t xml:space="preserve">https://drive.google.com/drive/folders/0B4Dkdqf5GPRaM0N2a2NGU3RzTjA</w:t>
        </w:r>
      </w:hyperlink>
      <w:r w:rsidDel="00000000" w:rsidR="00000000" w:rsidRPr="00000000">
        <w:rPr>
          <w:rtl w:val="0"/>
        </w:rPr>
      </w:r>
    </w:p>
    <w:p w:rsidR="00000000" w:rsidDel="00000000" w:rsidP="00000000" w:rsidRDefault="00000000" w:rsidRPr="00000000" w14:paraId="0000001E">
      <w:pPr>
        <w:rPr>
          <w:color w:val="222222"/>
          <w:sz w:val="24"/>
          <w:szCs w:val="24"/>
          <w:highlight w:val="white"/>
        </w:rPr>
      </w:pPr>
      <w:r w:rsidDel="00000000" w:rsidR="00000000" w:rsidRPr="00000000">
        <w:rPr>
          <w:rtl w:val="0"/>
        </w:rPr>
      </w:r>
    </w:p>
    <w:p w:rsidR="00000000" w:rsidDel="00000000" w:rsidP="00000000" w:rsidRDefault="00000000" w:rsidRPr="00000000" w14:paraId="0000001F">
      <w:pPr>
        <w:rPr>
          <w:color w:val="222222"/>
          <w:sz w:val="24"/>
          <w:szCs w:val="24"/>
          <w:highlight w:val="white"/>
        </w:rPr>
      </w:pPr>
      <w:r w:rsidDel="00000000" w:rsidR="00000000" w:rsidRPr="00000000">
        <w:rPr>
          <w:color w:val="222222"/>
          <w:sz w:val="24"/>
          <w:szCs w:val="24"/>
          <w:highlight w:val="white"/>
          <w:rtl w:val="0"/>
        </w:rPr>
        <w:t xml:space="preserve">The new curve provides a lower RMSE of 8.32, while the previous version is 9.49, and the old algorithm in v2.40 is 13.83. It's clear that the new curve has a better fit.</w:t>
      </w:r>
    </w:p>
    <w:p w:rsidR="00000000" w:rsidDel="00000000" w:rsidP="00000000" w:rsidRDefault="00000000" w:rsidRPr="00000000" w14:paraId="00000020">
      <w:pPr>
        <w:rPr>
          <w:color w:val="222222"/>
          <w:sz w:val="24"/>
          <w:szCs w:val="24"/>
          <w:highlight w:val="white"/>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0B4Dkdqf5GPRaM0N2a2NGU3RzT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