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Analysis of Refinance Transition Behavior From Conventional 15 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years Loan to Conventional 30 years Loan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have discovered that w</w:t>
      </w:r>
      <w:r w:rsidDel="00000000" w:rsidR="00000000" w:rsidRPr="00000000">
        <w:rPr>
          <w:sz w:val="24"/>
          <w:szCs w:val="24"/>
          <w:rtl w:val="0"/>
        </w:rPr>
        <w:t xml:space="preserve">hen conventional 15-year borrowers need to refinance, over 90% of people will choose conventional 15-year loan or 30-year loan. To better model incentive for 15-year loans, we need to analysis the factors that could affect transition behaviors from 15-year loan to 30-year loan.</w:t>
      </w:r>
    </w:p>
    <w:p w:rsidR="00000000" w:rsidDel="00000000" w:rsidP="00000000" w:rsidRDefault="00000000" w:rsidRPr="00000000" w14:paraId="0000000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Data</w:t>
      </w:r>
    </w:p>
    <w:p w:rsidR="00000000" w:rsidDel="00000000" w:rsidP="00000000" w:rsidRDefault="00000000" w:rsidRPr="00000000" w14:paraId="00000009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model transition behavior, we use the transition rate (‘Transit’)  from 15-year loan to 30-year loan. The data is provided by Freddie Mac and is available quarterly from 2002-01-01 to 2017-12-01. The transition rate varies between 4.79% and 58.95%.</w:t>
      </w:r>
    </w:p>
    <w:p w:rsidR="00000000" w:rsidDel="00000000" w:rsidP="00000000" w:rsidRDefault="00000000" w:rsidRPr="00000000" w14:paraId="0000000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 independent variables, we assume that 2 factors could have potential effect on transition behaviors. </w:t>
      </w:r>
    </w:p>
    <w:p w:rsidR="00000000" w:rsidDel="00000000" w:rsidP="00000000" w:rsidRDefault="00000000" w:rsidRPr="00000000" w14:paraId="0000000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0" w:firstLine="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shape of yield curve, which we will model as the difference between 30-year mortgage rate and 15-year mortgage rate.</w:t>
      </w:r>
    </w:p>
    <w:p w:rsidR="00000000" w:rsidDel="00000000" w:rsidP="00000000" w:rsidRDefault="00000000" w:rsidRPr="00000000" w14:paraId="0000000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Diff = 30_Year_Mtg_Rate - 15_Year_Mtg_Rate</w:t>
      </w:r>
    </w:p>
    <w:p w:rsidR="00000000" w:rsidDel="00000000" w:rsidP="00000000" w:rsidRDefault="00000000" w:rsidRPr="00000000" w14:paraId="0000001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 difference is higher, the yield curve is steeper, and 15-year borrowers will have less incentive to transit to 30-year loans. As a result, we believe ‘Diff’ factor could be </w:t>
      </w:r>
      <w:r w:rsidDel="00000000" w:rsidR="00000000" w:rsidRPr="00000000">
        <w:rPr>
          <w:b w:val="1"/>
          <w:i w:val="1"/>
          <w:sz w:val="24"/>
          <w:szCs w:val="24"/>
          <w:u w:val="single"/>
          <w:rtl w:val="0"/>
        </w:rPr>
        <w:t xml:space="preserve">negatively</w:t>
      </w:r>
      <w:r w:rsidDel="00000000" w:rsidR="00000000" w:rsidRPr="00000000">
        <w:rPr>
          <w:sz w:val="24"/>
          <w:szCs w:val="24"/>
          <w:rtl w:val="0"/>
        </w:rPr>
        <w:t xml:space="preserve"> correlated with transition rate.</w:t>
      </w:r>
    </w:p>
    <w:p w:rsidR="00000000" w:rsidDel="00000000" w:rsidP="00000000" w:rsidRDefault="00000000" w:rsidRPr="00000000" w14:paraId="0000001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Both 15 and 30 year mortgage rates are 1-point adjusted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use one-month lagged data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Mortgage rates are calculated quarterly</w:t>
      </w:r>
    </w:p>
    <w:p w:rsidR="00000000" w:rsidDel="00000000" w:rsidP="00000000" w:rsidRDefault="00000000" w:rsidRPr="00000000" w14:paraId="0000001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media effect (‘Media_Effect’). When the media effect is higher, 30-year mortgage rate is relatively lower, so 15-year borrowers will be more motivated to transit to 30-year loans. As a result, we believe ‘Media_Effect’ factor would be </w:t>
      </w:r>
      <w:r w:rsidDel="00000000" w:rsidR="00000000" w:rsidRPr="00000000">
        <w:rPr>
          <w:sz w:val="24"/>
          <w:szCs w:val="24"/>
          <w:rtl w:val="0"/>
        </w:rPr>
        <w:t xml:space="preserve">negatively correlated</w:t>
      </w:r>
      <w:r w:rsidDel="00000000" w:rsidR="00000000" w:rsidRPr="00000000">
        <w:rPr>
          <w:sz w:val="24"/>
          <w:szCs w:val="24"/>
          <w:rtl w:val="0"/>
        </w:rPr>
        <w:t xml:space="preserve"> with transition rate. </w:t>
      </w:r>
    </w:p>
    <w:p w:rsidR="00000000" w:rsidDel="00000000" w:rsidP="00000000" w:rsidRDefault="00000000" w:rsidRPr="00000000" w14:paraId="0000001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also use one-month lagged data and calculate quarterly average Media_Effect, corresponding to Transit data.</w:t>
      </w:r>
    </w:p>
    <w:p w:rsidR="00000000" w:rsidDel="00000000" w:rsidP="00000000" w:rsidRDefault="00000000" w:rsidRPr="00000000" w14:paraId="0000001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Regression Model</w:t>
      </w:r>
    </w:p>
    <w:p w:rsidR="00000000" w:rsidDel="00000000" w:rsidP="00000000" w:rsidRDefault="00000000" w:rsidRPr="00000000" w14:paraId="0000001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first plot Transit against Diff and Media_Effect.</w:t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33638" cy="230493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3638" cy="2304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71738" cy="23526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1738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There’s some apparent negative correlation between Transit and 2 independent variables, which proves our assumption. </w:t>
      </w:r>
    </w:p>
    <w:p w:rsidR="00000000" w:rsidDel="00000000" w:rsidP="00000000" w:rsidRDefault="00000000" w:rsidRPr="00000000" w14:paraId="0000001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One-Factor simple regression</w:t>
      </w:r>
    </w:p>
    <w:p w:rsidR="00000000" w:rsidDel="00000000" w:rsidP="00000000" w:rsidRDefault="00000000" w:rsidRPr="00000000" w14:paraId="0000002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Transit ~ Diff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19675" cy="27622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Transit ~ Media_Effect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62525" cy="22574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Two-Factor Regression</w:t>
      </w:r>
    </w:p>
    <w:p w:rsidR="00000000" w:rsidDel="00000000" w:rsidP="00000000" w:rsidRDefault="00000000" w:rsidRPr="00000000" w14:paraId="0000002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then conduct the linear regression model:</w:t>
      </w:r>
    </w:p>
    <w:p w:rsidR="00000000" w:rsidDel="00000000" w:rsidP="00000000" w:rsidRDefault="00000000" w:rsidRPr="00000000" w14:paraId="0000002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Transit ~ Diff + Media_Effect</w:t>
      </w:r>
    </w:p>
    <w:p w:rsidR="00000000" w:rsidDel="00000000" w:rsidP="00000000" w:rsidRDefault="00000000" w:rsidRPr="00000000" w14:paraId="0000002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results are: </w:t>
      </w:r>
    </w:p>
    <w:p w:rsidR="00000000" w:rsidDel="00000000" w:rsidP="00000000" w:rsidRDefault="00000000" w:rsidRPr="00000000" w14:paraId="0000002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19675" cy="25050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Both independent variables have significant negative effect on transit rate, and the Adjusted R-square of the model is 0.775.</w:t>
      </w:r>
    </w:p>
    <w:p w:rsidR="00000000" w:rsidDel="00000000" w:rsidP="00000000" w:rsidRDefault="00000000" w:rsidRPr="00000000" w14:paraId="0000003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85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Structure coefficients</w:t>
      </w:r>
    </w:p>
    <w:p w:rsidR="00000000" w:rsidDel="00000000" w:rsidP="00000000" w:rsidRDefault="00000000" w:rsidRPr="00000000" w14:paraId="0000003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Correlation Yhat and Diff: -0.754, Correlation^2 = 0.569</w:t>
      </w:r>
    </w:p>
    <w:p w:rsidR="00000000" w:rsidDel="00000000" w:rsidP="00000000" w:rsidRDefault="00000000" w:rsidRPr="00000000" w14:paraId="00000039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Yhat and Media_Effect: -0.937, Correlation^2 = 0.878</w:t>
      </w:r>
    </w:p>
    <w:p w:rsidR="00000000" w:rsidDel="00000000" w:rsidP="00000000" w:rsidRDefault="00000000" w:rsidRPr="00000000" w14:paraId="0000003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3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have proved that both the shape of yield curve and media effect have significant influence on transition behavior. Those two factors can explain 77.5% of the change in transition behaviors.</w:t>
      </w:r>
    </w:p>
    <w:p w:rsidR="00000000" w:rsidDel="00000000" w:rsidP="00000000" w:rsidRDefault="00000000" w:rsidRPr="00000000" w14:paraId="0000003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coefficient between Diff and Media_Effect is 0.45, which shows weak evidence of  multicollinearity.</w:t>
      </w:r>
    </w:p>
    <w:p w:rsidR="00000000" w:rsidDel="00000000" w:rsidP="00000000" w:rsidRDefault="00000000" w:rsidRPr="00000000" w14:paraId="0000003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structure coefficients shows most of the </w:t>
      </w:r>
      <w:r w:rsidDel="00000000" w:rsidR="00000000" w:rsidRPr="00000000">
        <w:rPr>
          <w:sz w:val="24"/>
          <w:szCs w:val="24"/>
          <w:rtl w:val="0"/>
        </w:rPr>
        <w:t xml:space="preserve">variance in the model can be accounted to the media effect. Though Diff also shows a high impact on transit 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