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222222"/>
          <w:sz w:val="28"/>
          <w:szCs w:val="28"/>
          <w:highlight w:val="white"/>
        </w:rPr>
      </w:pPr>
      <w:r w:rsidDel="00000000" w:rsidR="00000000" w:rsidRPr="00000000">
        <w:rPr>
          <w:b w:val="1"/>
          <w:color w:val="222222"/>
          <w:sz w:val="28"/>
          <w:szCs w:val="28"/>
          <w:highlight w:val="white"/>
          <w:rtl w:val="0"/>
        </w:rPr>
        <w:t xml:space="preserve">Coverage provided by Loan-Level Data</w:t>
      </w:r>
    </w:p>
    <w:p w:rsidR="00000000" w:rsidDel="00000000" w:rsidP="00000000" w:rsidRDefault="00000000" w:rsidRPr="00000000" w14:paraId="00000002">
      <w:pPr>
        <w:rPr>
          <w:color w:val="222222"/>
          <w:sz w:val="24"/>
          <w:szCs w:val="24"/>
          <w:highlight w:val="white"/>
        </w:rPr>
      </w:pPr>
      <w:r w:rsidDel="00000000" w:rsidR="00000000" w:rsidRPr="00000000">
        <w:rPr>
          <w:color w:val="222222"/>
          <w:sz w:val="24"/>
          <w:szCs w:val="24"/>
          <w:highlight w:val="white"/>
          <w:rtl w:val="0"/>
        </w:rPr>
        <w:t xml:space="preserve">Both FNM and FHL provide loan-level (LL) data on pools but the historical coverage of this data is dramatically different along two dimensions -- the origination dates of the loans and the period over which LL history is provided:</w:t>
      </w:r>
    </w:p>
    <w:p w:rsidR="00000000" w:rsidDel="00000000" w:rsidP="00000000" w:rsidRDefault="00000000" w:rsidRPr="00000000" w14:paraId="00000003">
      <w:pPr>
        <w:numPr>
          <w:ilvl w:val="0"/>
          <w:numId w:val="1"/>
        </w:numPr>
        <w:ind w:left="940" w:hanging="360"/>
        <w:rPr>
          <w:sz w:val="24"/>
          <w:szCs w:val="24"/>
        </w:rPr>
      </w:pPr>
      <w:r w:rsidDel="00000000" w:rsidR="00000000" w:rsidRPr="00000000">
        <w:rPr>
          <w:color w:val="222222"/>
          <w:sz w:val="24"/>
          <w:szCs w:val="24"/>
          <w:highlight w:val="white"/>
          <w:rtl w:val="0"/>
        </w:rPr>
        <w:t xml:space="preserve">FHL only provides LL information for loans originated on or after September 2006 and all LL information is available on a monthly basis from this date.</w:t>
      </w:r>
    </w:p>
    <w:p w:rsidR="00000000" w:rsidDel="00000000" w:rsidP="00000000" w:rsidRDefault="00000000" w:rsidRPr="00000000" w14:paraId="00000004">
      <w:pPr>
        <w:numPr>
          <w:ilvl w:val="0"/>
          <w:numId w:val="1"/>
        </w:numPr>
        <w:ind w:left="940" w:hanging="360"/>
        <w:rPr>
          <w:sz w:val="24"/>
          <w:szCs w:val="24"/>
        </w:rPr>
      </w:pPr>
      <w:r w:rsidDel="00000000" w:rsidR="00000000" w:rsidRPr="00000000">
        <w:rPr>
          <w:color w:val="222222"/>
          <w:sz w:val="24"/>
          <w:szCs w:val="24"/>
          <w:highlight w:val="white"/>
          <w:rtl w:val="0"/>
        </w:rPr>
        <w:t xml:space="preserve">FNM provides LL information for loans originated all the way back to 1994 but this information is only available on a monthly basis starting February 2014.</w:t>
      </w:r>
    </w:p>
    <w:p w:rsidR="00000000" w:rsidDel="00000000" w:rsidP="00000000" w:rsidRDefault="00000000" w:rsidRPr="00000000" w14:paraId="00000005">
      <w:pPr>
        <w:numPr>
          <w:ilvl w:val="1"/>
          <w:numId w:val="1"/>
        </w:numPr>
        <w:ind w:left="1440" w:hanging="360"/>
        <w:rPr>
          <w:color w:val="222222"/>
          <w:sz w:val="24"/>
          <w:szCs w:val="24"/>
          <w:highlight w:val="white"/>
          <w:u w:val="none"/>
        </w:rPr>
      </w:pPr>
      <w:r w:rsidDel="00000000" w:rsidR="00000000" w:rsidRPr="00000000">
        <w:rPr>
          <w:color w:val="222222"/>
          <w:sz w:val="24"/>
          <w:szCs w:val="24"/>
          <w:highlight w:val="white"/>
          <w:rtl w:val="0"/>
        </w:rPr>
        <w:t xml:space="preserve">FNMA provided a one-time LL snapshot of the entire MBS pool universe on January 2013. </w:t>
      </w:r>
    </w:p>
    <w:p w:rsidR="00000000" w:rsidDel="00000000" w:rsidP="00000000" w:rsidRDefault="00000000" w:rsidRPr="00000000" w14:paraId="00000006">
      <w:pPr>
        <w:numPr>
          <w:ilvl w:val="1"/>
          <w:numId w:val="1"/>
        </w:numPr>
        <w:ind w:left="1440" w:hanging="360"/>
        <w:rPr>
          <w:color w:val="222222"/>
          <w:sz w:val="24"/>
          <w:szCs w:val="24"/>
          <w:highlight w:val="white"/>
          <w:u w:val="none"/>
        </w:rPr>
      </w:pPr>
      <w:r w:rsidDel="00000000" w:rsidR="00000000" w:rsidRPr="00000000">
        <w:rPr>
          <w:color w:val="222222"/>
          <w:sz w:val="24"/>
          <w:szCs w:val="24"/>
          <w:highlight w:val="white"/>
          <w:rtl w:val="0"/>
        </w:rPr>
        <w:t xml:space="preserve">Starting February 2014, monthly LL distributions are available on all pools that were originated in 2013 or later</w:t>
      </w:r>
    </w:p>
    <w:p w:rsidR="00000000" w:rsidDel="00000000" w:rsidP="00000000" w:rsidRDefault="00000000" w:rsidRPr="00000000" w14:paraId="00000007">
      <w:pPr>
        <w:numPr>
          <w:ilvl w:val="1"/>
          <w:numId w:val="1"/>
        </w:numPr>
        <w:ind w:left="1440" w:hanging="360"/>
        <w:rPr>
          <w:color w:val="222222"/>
          <w:sz w:val="24"/>
          <w:szCs w:val="24"/>
          <w:highlight w:val="white"/>
          <w:u w:val="none"/>
        </w:rPr>
      </w:pPr>
      <w:r w:rsidDel="00000000" w:rsidR="00000000" w:rsidRPr="00000000">
        <w:rPr>
          <w:color w:val="222222"/>
          <w:sz w:val="24"/>
          <w:szCs w:val="24"/>
          <w:highlight w:val="white"/>
          <w:rtl w:val="0"/>
        </w:rPr>
        <w:t xml:space="preserve">For pools that were originated in 2013 or later we can use the one-time snapshot to estimate the monthly LL distribution. Essentially, for any given pool, the LL distribution as of January 2013 is amortized according to the evolution of the pool factor in order to obtain a picture of the distribution for subsequent dates. </w:t>
      </w:r>
    </w:p>
    <w:p w:rsidR="00000000" w:rsidDel="00000000" w:rsidP="00000000" w:rsidRDefault="00000000" w:rsidRPr="00000000" w14:paraId="00000008">
      <w:pPr>
        <w:rPr>
          <w:color w:val="222222"/>
          <w:sz w:val="24"/>
          <w:szCs w:val="24"/>
          <w:highlight w:val="white"/>
        </w:rPr>
      </w:pPr>
      <w:r w:rsidDel="00000000" w:rsidR="00000000" w:rsidRPr="00000000">
        <w:rPr>
          <w:color w:val="222222"/>
          <w:sz w:val="24"/>
          <w:szCs w:val="24"/>
          <w:highlight w:val="white"/>
          <w:rtl w:val="0"/>
        </w:rPr>
        <w:t xml:space="preserve">There is also a separate coverage issue in that there are partial gaps in LL coverage for pools around their origination dates -- LL data can be missing for 2-3 months at a time and then start being filled in. The statistics here are (as of March 2017):</w:t>
      </w:r>
    </w:p>
    <w:p w:rsidR="00000000" w:rsidDel="00000000" w:rsidP="00000000" w:rsidRDefault="00000000" w:rsidRPr="00000000" w14:paraId="00000009">
      <w:pPr>
        <w:rPr>
          <w:color w:val="222222"/>
          <w:sz w:val="24"/>
          <w:szCs w:val="24"/>
          <w:highlight w:val="white"/>
        </w:rPr>
      </w:pPr>
      <w:r w:rsidDel="00000000" w:rsidR="00000000" w:rsidRPr="00000000">
        <w:rPr>
          <w:rtl w:val="0"/>
        </w:rPr>
      </w:r>
    </w:p>
    <w:p w:rsidR="00000000" w:rsidDel="00000000" w:rsidP="00000000" w:rsidRDefault="00000000" w:rsidRPr="00000000" w14:paraId="0000000A">
      <w:pPr>
        <w:numPr>
          <w:ilvl w:val="0"/>
          <w:numId w:val="2"/>
        </w:numPr>
        <w:ind w:left="940" w:hanging="360"/>
        <w:rPr>
          <w:sz w:val="24"/>
          <w:szCs w:val="24"/>
        </w:rPr>
      </w:pPr>
      <w:r w:rsidDel="00000000" w:rsidR="00000000" w:rsidRPr="00000000">
        <w:rPr>
          <w:color w:val="222222"/>
          <w:sz w:val="24"/>
          <w:szCs w:val="24"/>
          <w:highlight w:val="white"/>
          <w:rtl w:val="0"/>
        </w:rPr>
        <w:t xml:space="preserve">56% of FHL pools and 19% of FNM pools have no partial gaps</w:t>
      </w:r>
    </w:p>
    <w:p w:rsidR="00000000" w:rsidDel="00000000" w:rsidP="00000000" w:rsidRDefault="00000000" w:rsidRPr="00000000" w14:paraId="0000000B">
      <w:pPr>
        <w:numPr>
          <w:ilvl w:val="0"/>
          <w:numId w:val="2"/>
        </w:numPr>
        <w:ind w:left="940" w:hanging="360"/>
        <w:rPr>
          <w:sz w:val="24"/>
          <w:szCs w:val="24"/>
        </w:rPr>
      </w:pPr>
      <w:r w:rsidDel="00000000" w:rsidR="00000000" w:rsidRPr="00000000">
        <w:rPr>
          <w:color w:val="222222"/>
          <w:sz w:val="24"/>
          <w:szCs w:val="24"/>
          <w:highlight w:val="white"/>
          <w:rtl w:val="0"/>
        </w:rPr>
        <w:t xml:space="preserve">40% of FHL pools and 2% of FNM pools have 1-3 month gaps</w:t>
      </w:r>
    </w:p>
    <w:p w:rsidR="00000000" w:rsidDel="00000000" w:rsidP="00000000" w:rsidRDefault="00000000" w:rsidRPr="00000000" w14:paraId="0000000C">
      <w:pPr>
        <w:numPr>
          <w:ilvl w:val="0"/>
          <w:numId w:val="2"/>
        </w:numPr>
        <w:ind w:left="940" w:hanging="360"/>
        <w:rPr>
          <w:sz w:val="24"/>
          <w:szCs w:val="24"/>
        </w:rPr>
      </w:pPr>
      <w:r w:rsidDel="00000000" w:rsidR="00000000" w:rsidRPr="00000000">
        <w:rPr>
          <w:color w:val="222222"/>
          <w:sz w:val="24"/>
          <w:szCs w:val="24"/>
          <w:highlight w:val="white"/>
          <w:rtl w:val="0"/>
        </w:rPr>
        <w:t xml:space="preserve">3% of FHL pools and 79% of FNM pools have coverage gaps greater than 3 months</w:t>
      </w:r>
    </w:p>
    <w:p w:rsidR="00000000" w:rsidDel="00000000" w:rsidP="00000000" w:rsidRDefault="00000000" w:rsidRPr="00000000" w14:paraId="0000000D">
      <w:pPr>
        <w:rPr>
          <w:color w:val="222222"/>
          <w:sz w:val="24"/>
          <w:szCs w:val="24"/>
          <w:highlight w:val="white"/>
        </w:rPr>
      </w:pPr>
      <w:r w:rsidDel="00000000" w:rsidR="00000000" w:rsidRPr="00000000">
        <w:rPr>
          <w:color w:val="222222"/>
          <w:sz w:val="24"/>
          <w:szCs w:val="24"/>
          <w:highlight w:val="white"/>
          <w:rtl w:val="0"/>
        </w:rPr>
        <w:t xml:space="preserve">(The vastly greater FNMA gaps result from the much larger universe of FNMA pools with at least some LL data).</w:t>
      </w:r>
    </w:p>
    <w:p w:rsidR="00000000" w:rsidDel="00000000" w:rsidP="00000000" w:rsidRDefault="00000000" w:rsidRPr="00000000" w14:paraId="0000000E">
      <w:pPr>
        <w:rPr>
          <w:color w:val="222222"/>
          <w:sz w:val="24"/>
          <w:szCs w:val="24"/>
          <w:highlight w:val="white"/>
        </w:rPr>
      </w:pPr>
      <w:r w:rsidDel="00000000" w:rsidR="00000000" w:rsidRPr="00000000">
        <w:rPr>
          <w:rtl w:val="0"/>
        </w:rPr>
      </w:r>
    </w:p>
    <w:p w:rsidR="00000000" w:rsidDel="00000000" w:rsidP="00000000" w:rsidRDefault="00000000" w:rsidRPr="00000000" w14:paraId="0000000F">
      <w:pPr>
        <w:rPr>
          <w:color w:val="222222"/>
          <w:sz w:val="24"/>
          <w:szCs w:val="24"/>
          <w:highlight w:val="white"/>
        </w:rPr>
      </w:pPr>
      <w:r w:rsidDel="00000000" w:rsidR="00000000" w:rsidRPr="00000000">
        <w:rPr>
          <w:color w:val="222222"/>
          <w:sz w:val="24"/>
          <w:szCs w:val="24"/>
          <w:highlight w:val="white"/>
          <w:rtl w:val="0"/>
        </w:rPr>
        <w:t xml:space="preserve">The LL data described above is used to provide estimates of pool attributes such as incentive, burnout etc. These LL-based-estimates of pool aggregates are fed into the prepayment model. In the absence of LL data, we use the pool-level estimates provided by the relevant agencies.</w:t>
      </w:r>
    </w:p>
    <w:p w:rsidR="00000000" w:rsidDel="00000000" w:rsidP="00000000" w:rsidRDefault="00000000" w:rsidRPr="00000000" w14:paraId="00000010">
      <w:pPr>
        <w:rPr>
          <w:color w:val="222222"/>
          <w:sz w:val="24"/>
          <w:szCs w:val="24"/>
          <w:highlight w:val="white"/>
        </w:rPr>
      </w:pPr>
      <w:r w:rsidDel="00000000" w:rsidR="00000000" w:rsidRPr="00000000">
        <w:rPr>
          <w:rtl w:val="0"/>
        </w:rPr>
      </w:r>
    </w:p>
    <w:p w:rsidR="00000000" w:rsidDel="00000000" w:rsidP="00000000" w:rsidRDefault="00000000" w:rsidRPr="00000000" w14:paraId="00000011">
      <w:pPr>
        <w:rPr>
          <w:b w:val="1"/>
          <w:color w:val="222222"/>
          <w:sz w:val="28"/>
          <w:szCs w:val="28"/>
          <w:highlight w:val="white"/>
        </w:rPr>
      </w:pPr>
      <w:r w:rsidDel="00000000" w:rsidR="00000000" w:rsidRPr="00000000">
        <w:rPr>
          <w:b w:val="1"/>
          <w:color w:val="222222"/>
          <w:sz w:val="28"/>
          <w:szCs w:val="28"/>
          <w:highlight w:val="white"/>
          <w:rtl w:val="0"/>
        </w:rPr>
        <w:t xml:space="preserve">Agency Prepayments in the February 2010 – August 2010 time period</w:t>
      </w:r>
    </w:p>
    <w:p w:rsidR="00000000" w:rsidDel="00000000" w:rsidP="00000000" w:rsidRDefault="00000000" w:rsidRPr="00000000" w14:paraId="00000012">
      <w:pPr>
        <w:rPr>
          <w:color w:val="222222"/>
          <w:sz w:val="24"/>
          <w:szCs w:val="24"/>
          <w:highlight w:val="white"/>
        </w:rPr>
      </w:pPr>
      <w:r w:rsidDel="00000000" w:rsidR="00000000" w:rsidRPr="00000000">
        <w:rPr>
          <w:color w:val="222222"/>
          <w:sz w:val="24"/>
          <w:szCs w:val="24"/>
          <w:highlight w:val="white"/>
          <w:rtl w:val="0"/>
        </w:rPr>
        <w:t xml:space="preserve">One of the biggest drivers of prepays in the first half of this year was involuntary prepays occurring due to the buyout of 120+ delinquent loans by the GSEs. Freddie bought out all the 120+ delinquent loans backing their MBS in February and then continued to buyout any incremental 120+ delinquencies on a monthly basis. Fannie did the one time buyouts from March to June and, similar to Freddie, continued to buyout the incremental 120+ delinquencies from their pools every month.</w:t>
      </w:r>
    </w:p>
    <w:p w:rsidR="00000000" w:rsidDel="00000000" w:rsidP="00000000" w:rsidRDefault="00000000" w:rsidRPr="00000000" w14:paraId="00000013">
      <w:pPr>
        <w:rPr>
          <w:color w:val="222222"/>
          <w:sz w:val="24"/>
          <w:szCs w:val="24"/>
          <w:highlight w:val="white"/>
        </w:rPr>
      </w:pPr>
      <w:r w:rsidDel="00000000" w:rsidR="00000000" w:rsidRPr="00000000">
        <w:rPr>
          <w:rtl w:val="0"/>
        </w:rPr>
      </w:r>
    </w:p>
    <w:p w:rsidR="00000000" w:rsidDel="00000000" w:rsidP="00000000" w:rsidRDefault="00000000" w:rsidRPr="00000000" w14:paraId="00000014">
      <w:pPr>
        <w:rPr>
          <w:color w:val="222222"/>
          <w:sz w:val="24"/>
          <w:szCs w:val="24"/>
          <w:highlight w:val="white"/>
        </w:rPr>
      </w:pPr>
      <w:r w:rsidDel="00000000" w:rsidR="00000000" w:rsidRPr="00000000">
        <w:rPr>
          <w:color w:val="222222"/>
          <w:sz w:val="24"/>
          <w:szCs w:val="24"/>
          <w:highlight w:val="white"/>
          <w:rtl w:val="0"/>
        </w:rPr>
        <w:t xml:space="preserve">The GSEs said it was made economic sense for them to do this because they were advancing payments to investors at above market rates. Given that these companies were (and are) backed by the U.S. Treasury at this point in time, their cost of funding was a lot lower. Given this low cost, it makes sense to buyout these delinquent mortgages as long as they have the capital to do so and the advancing rate is higher than the cost of funding.</w:t>
      </w:r>
    </w:p>
    <w:p w:rsidR="00000000" w:rsidDel="00000000" w:rsidP="00000000" w:rsidRDefault="00000000" w:rsidRPr="00000000" w14:paraId="00000015">
      <w:pPr>
        <w:rPr>
          <w:color w:val="222222"/>
          <w:sz w:val="24"/>
          <w:szCs w:val="24"/>
          <w:highlight w:val="white"/>
        </w:rPr>
      </w:pPr>
      <w:r w:rsidDel="00000000" w:rsidR="00000000" w:rsidRPr="00000000">
        <w:rPr>
          <w:rtl w:val="0"/>
        </w:rPr>
      </w:r>
    </w:p>
    <w:p w:rsidR="00000000" w:rsidDel="00000000" w:rsidP="00000000" w:rsidRDefault="00000000" w:rsidRPr="00000000" w14:paraId="00000016">
      <w:pPr>
        <w:rPr>
          <w:color w:val="222222"/>
          <w:sz w:val="24"/>
          <w:szCs w:val="24"/>
          <w:highlight w:val="white"/>
        </w:rPr>
      </w:pPr>
      <w:r w:rsidDel="00000000" w:rsidR="00000000" w:rsidRPr="00000000">
        <w:rPr>
          <w:color w:val="222222"/>
          <w:sz w:val="24"/>
          <w:szCs w:val="24"/>
          <w:highlight w:val="white"/>
          <w:rtl w:val="0"/>
        </w:rPr>
        <w:t xml:space="preserve">To calculate “buyout CPRs” at the pool level, use the prior months 120+ day delinquency rate to figure out next month’s buyout. For data prior to Jan 2011 (Freddie started releasing pool-level data as of this date), the GSEs used to publish the 120+ day delinquency percentages by coupon and vintages in a pdf document on their website. The magnitude of this activity varies heavily by origination year, coupon and calendar time (the relevant month in 2010) and generally appears to average between 5-10% CPR.</w:t>
      </w:r>
    </w:p>
    <w:p w:rsidR="00000000" w:rsidDel="00000000" w:rsidP="00000000" w:rsidRDefault="00000000" w:rsidRPr="00000000" w14:paraId="00000017">
      <w:pPr>
        <w:rPr>
          <w:color w:val="222222"/>
          <w:sz w:val="24"/>
          <w:szCs w:val="24"/>
          <w:highlight w:val="white"/>
        </w:rPr>
      </w:pPr>
      <w:r w:rsidDel="00000000" w:rsidR="00000000" w:rsidRPr="00000000">
        <w:rPr>
          <w:rtl w:val="0"/>
        </w:rPr>
      </w:r>
    </w:p>
    <w:p w:rsidR="00000000" w:rsidDel="00000000" w:rsidP="00000000" w:rsidRDefault="00000000" w:rsidRPr="00000000" w14:paraId="00000018">
      <w:pPr>
        <w:rPr>
          <w:color w:val="222222"/>
          <w:sz w:val="24"/>
          <w:szCs w:val="24"/>
          <w:highlight w:val="white"/>
        </w:rPr>
      </w:pPr>
      <w:r w:rsidDel="00000000" w:rsidR="00000000" w:rsidRPr="00000000">
        <w:rPr>
          <w:color w:val="222222"/>
          <w:sz w:val="24"/>
          <w:szCs w:val="24"/>
          <w:highlight w:val="white"/>
          <w:rtl w:val="0"/>
        </w:rPr>
        <w:t xml:space="preserve">The model completely misses this peak because it essentially corresponds to an exogenous shock to prepayment rates as the result of a policy change as the GSEs essentially flush as much of their 120+ delinquent pipeline as possible. </w:t>
      </w:r>
    </w:p>
    <w:p w:rsidR="00000000" w:rsidDel="00000000" w:rsidP="00000000" w:rsidRDefault="00000000" w:rsidRPr="00000000" w14:paraId="00000019">
      <w:pPr>
        <w:rPr>
          <w:color w:val="222222"/>
          <w:sz w:val="24"/>
          <w:szCs w:val="24"/>
          <w:highlight w:val="white"/>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22222"/>
        <w:sz w:val="19"/>
        <w:szCs w:val="19"/>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19"/>
        <w:szCs w:val="19"/>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