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b w:val="1"/>
        </w:rPr>
      </w:pPr>
      <w:bookmarkStart w:colFirst="0" w:colLast="0" w:name="_pnvgd46e1vwq" w:id="0"/>
      <w:bookmarkEnd w:id="0"/>
      <w:r w:rsidDel="00000000" w:rsidR="00000000" w:rsidRPr="00000000">
        <w:rPr>
          <w:b w:val="1"/>
          <w:rtl w:val="0"/>
        </w:rPr>
        <w:t xml:space="preserve">ScaleDB Project Plan for 15-years and 20-years</w:t>
      </w:r>
    </w:p>
    <w:p w:rsidR="00000000" w:rsidDel="00000000" w:rsidP="00000000" w:rsidRDefault="00000000" w:rsidRPr="00000000" w14:paraId="00000002">
      <w:pPr>
        <w:rPr>
          <w:color w:val="222222"/>
          <w:sz w:val="26"/>
          <w:szCs w:val="26"/>
          <w:highlight w:val="white"/>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color w:val="222222"/>
          <w:sz w:val="26"/>
          <w:szCs w:val="26"/>
          <w:highlight w:val="white"/>
        </w:rPr>
      </w:pPr>
      <w:r w:rsidDel="00000000" w:rsidR="00000000" w:rsidRPr="00000000">
        <w:rPr>
          <w:b w:val="1"/>
          <w:color w:val="222222"/>
          <w:sz w:val="26"/>
          <w:szCs w:val="26"/>
          <w:highlight w:val="white"/>
          <w:rtl w:val="0"/>
        </w:rPr>
        <w:t xml:space="preserve">Introduction</w:t>
      </w:r>
    </w:p>
    <w:p w:rsidR="00000000" w:rsidDel="00000000" w:rsidP="00000000" w:rsidRDefault="00000000" w:rsidRPr="00000000" w14:paraId="00000004">
      <w:pPr>
        <w:rPr>
          <w:color w:val="222222"/>
          <w:sz w:val="26"/>
          <w:szCs w:val="26"/>
          <w:highlight w:val="white"/>
        </w:rPr>
      </w:pPr>
      <w:r w:rsidDel="00000000" w:rsidR="00000000" w:rsidRPr="00000000">
        <w:rPr>
          <w:rtl w:val="0"/>
        </w:rPr>
      </w:r>
    </w:p>
    <w:p w:rsidR="00000000" w:rsidDel="00000000" w:rsidP="00000000" w:rsidRDefault="00000000" w:rsidRPr="00000000" w14:paraId="00000005">
      <w:pPr>
        <w:rPr>
          <w:color w:val="222222"/>
          <w:sz w:val="26"/>
          <w:szCs w:val="26"/>
          <w:highlight w:val="white"/>
        </w:rPr>
      </w:pPr>
      <w:r w:rsidDel="00000000" w:rsidR="00000000" w:rsidRPr="00000000">
        <w:rPr>
          <w:color w:val="222222"/>
          <w:sz w:val="26"/>
          <w:szCs w:val="26"/>
          <w:highlight w:val="white"/>
          <w:rtl w:val="0"/>
        </w:rPr>
        <w:t xml:space="preserve">ScaleDB currently provides loan- and pool-level coverage of 30-year mortgages guaranteed by Fannie Mae and Freddie Mac, as well as loan-level GNMA 30-year mortgages.</w:t>
      </w:r>
      <w:r w:rsidDel="00000000" w:rsidR="00000000" w:rsidRPr="00000000">
        <w:rPr>
          <w:color w:val="222222"/>
          <w:sz w:val="26"/>
          <w:szCs w:val="26"/>
          <w:highlight w:val="white"/>
          <w:vertAlign w:val="superscript"/>
        </w:rPr>
        <w:footnoteReference w:customMarkFollows="0" w:id="0"/>
      </w:r>
      <w:r w:rsidDel="00000000" w:rsidR="00000000" w:rsidRPr="00000000">
        <w:rPr>
          <w:color w:val="222222"/>
          <w:sz w:val="26"/>
          <w:szCs w:val="26"/>
          <w:highlight w:val="white"/>
          <w:rtl w:val="0"/>
        </w:rPr>
        <w:t xml:space="preserve"> The goal is to extend this infrastructure and calculations to Conventional 15- and 20-year mortgages. </w:t>
      </w:r>
    </w:p>
    <w:p w:rsidR="00000000" w:rsidDel="00000000" w:rsidP="00000000" w:rsidRDefault="00000000" w:rsidRPr="00000000" w14:paraId="00000006">
      <w:pPr>
        <w:rPr>
          <w:color w:val="222222"/>
          <w:sz w:val="26"/>
          <w:szCs w:val="26"/>
          <w:highlight w:val="white"/>
        </w:rPr>
      </w:pPr>
      <w:r w:rsidDel="00000000" w:rsidR="00000000" w:rsidRPr="00000000">
        <w:rPr>
          <w:rtl w:val="0"/>
        </w:rPr>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color w:val="222222"/>
          <w:sz w:val="26"/>
          <w:szCs w:val="26"/>
          <w:highlight w:val="white"/>
        </w:rPr>
      </w:pPr>
      <w:r w:rsidDel="00000000" w:rsidR="00000000" w:rsidRPr="00000000">
        <w:rPr>
          <w:b w:val="1"/>
          <w:color w:val="222222"/>
          <w:sz w:val="26"/>
          <w:szCs w:val="26"/>
          <w:highlight w:val="white"/>
          <w:rtl w:val="0"/>
        </w:rPr>
        <w:t xml:space="preserve">Development Plan </w:t>
      </w:r>
      <w:r w:rsidDel="00000000" w:rsidR="00000000" w:rsidRPr="00000000">
        <w:rPr>
          <w:rtl w:val="0"/>
        </w:rPr>
      </w:r>
    </w:p>
    <w:p w:rsidR="00000000" w:rsidDel="00000000" w:rsidP="00000000" w:rsidRDefault="00000000" w:rsidRPr="00000000" w14:paraId="00000008">
      <w:pPr>
        <w:rPr>
          <w:color w:val="222222"/>
          <w:sz w:val="26"/>
          <w:szCs w:val="26"/>
          <w:highlight w:val="white"/>
        </w:rPr>
      </w:pPr>
      <w:r w:rsidDel="00000000" w:rsidR="00000000" w:rsidRPr="00000000">
        <w:rPr>
          <w:rtl w:val="0"/>
        </w:rPr>
      </w:r>
    </w:p>
    <w:p w:rsidR="00000000" w:rsidDel="00000000" w:rsidP="00000000" w:rsidRDefault="00000000" w:rsidRPr="00000000" w14:paraId="00000009">
      <w:pPr>
        <w:rPr>
          <w:color w:val="222222"/>
          <w:sz w:val="26"/>
          <w:szCs w:val="26"/>
          <w:highlight w:val="white"/>
        </w:rPr>
      </w:pPr>
      <w:r w:rsidDel="00000000" w:rsidR="00000000" w:rsidRPr="00000000">
        <w:rPr>
          <w:color w:val="222222"/>
          <w:sz w:val="26"/>
          <w:szCs w:val="26"/>
          <w:highlight w:val="white"/>
          <w:rtl w:val="0"/>
        </w:rPr>
        <w:t xml:space="preserve">Despite difference in liquidity and availability of mortgage rates, there are a lot of commonalities on the data side for 15- and 20-years. Consequently, to the extent possible, the goal is to simultaneously work on the 15- and 20-year data sets together.  The approximate sequencing will be:</w:t>
      </w:r>
    </w:p>
    <w:p w:rsidR="00000000" w:rsidDel="00000000" w:rsidP="00000000" w:rsidRDefault="00000000" w:rsidRPr="00000000" w14:paraId="0000000A">
      <w:pPr>
        <w:rPr>
          <w:color w:val="222222"/>
          <w:sz w:val="26"/>
          <w:szCs w:val="26"/>
          <w:highlight w:val="white"/>
        </w:rPr>
      </w:pPr>
      <w:r w:rsidDel="00000000" w:rsidR="00000000" w:rsidRPr="00000000">
        <w:rPr>
          <w:rtl w:val="0"/>
        </w:rPr>
      </w:r>
    </w:p>
    <w:p w:rsidR="00000000" w:rsidDel="00000000" w:rsidP="00000000" w:rsidRDefault="00000000" w:rsidRPr="00000000" w14:paraId="0000000B">
      <w:pPr>
        <w:rPr>
          <w:color w:val="222222"/>
          <w:sz w:val="20"/>
          <w:szCs w:val="20"/>
          <w:highlight w:val="white"/>
        </w:rPr>
      </w:pPr>
      <w:r w:rsidDel="00000000" w:rsidR="00000000" w:rsidRPr="00000000">
        <w:rPr>
          <w:color w:val="222222"/>
          <w:sz w:val="20"/>
          <w:szCs w:val="20"/>
          <w:highlight w:val="white"/>
          <w:rtl w:val="0"/>
        </w:rPr>
        <w:t xml:space="preserve">Freddie Mac Loan-level -&gt; Fannie Mae Loan-level -&gt; Freddie Mac Pool-level -&gt; Fannie Mae Pool-level</w:t>
      </w:r>
    </w:p>
    <w:p w:rsidR="00000000" w:rsidDel="00000000" w:rsidP="00000000" w:rsidRDefault="00000000" w:rsidRPr="00000000" w14:paraId="0000000C">
      <w:pPr>
        <w:rPr>
          <w:color w:val="222222"/>
          <w:sz w:val="26"/>
          <w:szCs w:val="26"/>
          <w:highlight w:val="white"/>
        </w:rPr>
      </w:pPr>
      <w:r w:rsidDel="00000000" w:rsidR="00000000" w:rsidRPr="00000000">
        <w:rPr>
          <w:rtl w:val="0"/>
        </w:rPr>
      </w:r>
    </w:p>
    <w:p w:rsidR="00000000" w:rsidDel="00000000" w:rsidP="00000000" w:rsidRDefault="00000000" w:rsidRPr="00000000" w14:paraId="0000000D">
      <w:pPr>
        <w:rPr>
          <w:color w:val="222222"/>
          <w:sz w:val="26"/>
          <w:szCs w:val="26"/>
          <w:highlight w:val="white"/>
        </w:rPr>
      </w:pPr>
      <w:r w:rsidDel="00000000" w:rsidR="00000000" w:rsidRPr="00000000">
        <w:rPr>
          <w:color w:val="222222"/>
          <w:sz w:val="26"/>
          <w:szCs w:val="26"/>
          <w:highlight w:val="white"/>
          <w:rtl w:val="0"/>
        </w:rPr>
        <w:t xml:space="preserve">Although the prepayment model is currently fit to loan level replines, pool-level data is still required for three purposes:</w:t>
      </w:r>
    </w:p>
    <w:p w:rsidR="00000000" w:rsidDel="00000000" w:rsidP="00000000" w:rsidRDefault="00000000" w:rsidRPr="00000000" w14:paraId="0000000E">
      <w:pPr>
        <w:rPr>
          <w:color w:val="222222"/>
          <w:sz w:val="26"/>
          <w:szCs w:val="26"/>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color w:val="222222"/>
          <w:sz w:val="26"/>
          <w:szCs w:val="26"/>
          <w:highlight w:val="white"/>
        </w:rPr>
      </w:pPr>
      <w:r w:rsidDel="00000000" w:rsidR="00000000" w:rsidRPr="00000000">
        <w:rPr>
          <w:b w:val="1"/>
          <w:color w:val="222222"/>
          <w:sz w:val="26"/>
          <w:szCs w:val="26"/>
          <w:highlight w:val="white"/>
          <w:rtl w:val="0"/>
        </w:rPr>
        <w:t xml:space="preserve">Fitting the Default Model.</w:t>
      </w:r>
      <w:r w:rsidDel="00000000" w:rsidR="00000000" w:rsidRPr="00000000">
        <w:rPr>
          <w:color w:val="222222"/>
          <w:sz w:val="26"/>
          <w:szCs w:val="26"/>
          <w:highlight w:val="white"/>
          <w:rtl w:val="0"/>
        </w:rPr>
        <w:t xml:space="preserve"> Monthly default rates are not visible at the loan level.</w:t>
      </w:r>
      <w:r w:rsidDel="00000000" w:rsidR="00000000" w:rsidRPr="00000000">
        <w:rPr>
          <w:color w:val="222222"/>
          <w:sz w:val="26"/>
          <w:szCs w:val="26"/>
          <w:highlight w:val="white"/>
          <w:vertAlign w:val="superscript"/>
        </w:rPr>
        <w:footnoteReference w:customMarkFollows="0" w:id="1"/>
      </w:r>
      <w:r w:rsidDel="00000000" w:rsidR="00000000" w:rsidRPr="00000000">
        <w:rPr>
          <w:rtl w:val="0"/>
        </w:rPr>
      </w:r>
    </w:p>
    <w:p w:rsidR="00000000" w:rsidDel="00000000" w:rsidP="00000000" w:rsidRDefault="00000000" w:rsidRPr="00000000" w14:paraId="00000010">
      <w:pPr>
        <w:numPr>
          <w:ilvl w:val="0"/>
          <w:numId w:val="1"/>
        </w:numPr>
        <w:ind w:left="720" w:hanging="360"/>
        <w:rPr>
          <w:color w:val="222222"/>
          <w:sz w:val="26"/>
          <w:szCs w:val="26"/>
          <w:highlight w:val="white"/>
        </w:rPr>
      </w:pPr>
      <w:r w:rsidDel="00000000" w:rsidR="00000000" w:rsidRPr="00000000">
        <w:rPr>
          <w:b w:val="1"/>
          <w:color w:val="222222"/>
          <w:sz w:val="26"/>
          <w:szCs w:val="26"/>
          <w:highlight w:val="white"/>
          <w:rtl w:val="0"/>
        </w:rPr>
        <w:t xml:space="preserve">Providing Tracking Data for Symphony Slicer.</w:t>
      </w:r>
      <w:r w:rsidDel="00000000" w:rsidR="00000000" w:rsidRPr="00000000">
        <w:rPr>
          <w:color w:val="222222"/>
          <w:sz w:val="26"/>
          <w:szCs w:val="26"/>
          <w:highlight w:val="white"/>
          <w:rtl w:val="0"/>
        </w:rPr>
        <w:t xml:space="preserve"> Slicer is based on pool-level tracking for 30-year conventional mortgages and loan-level tracking for Ginnie Mae 30-year mortgages.</w:t>
      </w:r>
      <w:r w:rsidDel="00000000" w:rsidR="00000000" w:rsidRPr="00000000">
        <w:rPr>
          <w:color w:val="222222"/>
          <w:sz w:val="26"/>
          <w:szCs w:val="26"/>
          <w:highlight w:val="white"/>
          <w:vertAlign w:val="superscript"/>
        </w:rPr>
        <w:footnoteReference w:customMarkFollows="0" w:id="2"/>
      </w:r>
      <w:r w:rsidDel="00000000" w:rsidR="00000000" w:rsidRPr="00000000">
        <w:rPr>
          <w:rtl w:val="0"/>
        </w:rPr>
      </w:r>
    </w:p>
    <w:p w:rsidR="00000000" w:rsidDel="00000000" w:rsidP="00000000" w:rsidRDefault="00000000" w:rsidRPr="00000000" w14:paraId="00000011">
      <w:pPr>
        <w:numPr>
          <w:ilvl w:val="0"/>
          <w:numId w:val="1"/>
        </w:numPr>
        <w:ind w:left="720" w:hanging="360"/>
        <w:rPr>
          <w:color w:val="222222"/>
          <w:sz w:val="26"/>
          <w:szCs w:val="26"/>
          <w:highlight w:val="white"/>
        </w:rPr>
      </w:pPr>
      <w:r w:rsidDel="00000000" w:rsidR="00000000" w:rsidRPr="00000000">
        <w:rPr>
          <w:color w:val="222222"/>
          <w:sz w:val="26"/>
          <w:szCs w:val="26"/>
          <w:highlight w:val="white"/>
          <w:rtl w:val="0"/>
        </w:rPr>
        <w:t xml:space="preserve"> </w:t>
      </w:r>
      <w:r w:rsidDel="00000000" w:rsidR="00000000" w:rsidRPr="00000000">
        <w:rPr>
          <w:b w:val="1"/>
          <w:color w:val="222222"/>
          <w:sz w:val="26"/>
          <w:szCs w:val="26"/>
          <w:highlight w:val="white"/>
          <w:rtl w:val="0"/>
        </w:rPr>
        <w:t xml:space="preserve">Training the Model on Longer History.  </w:t>
      </w:r>
      <w:r w:rsidDel="00000000" w:rsidR="00000000" w:rsidRPr="00000000">
        <w:rPr>
          <w:color w:val="222222"/>
          <w:sz w:val="26"/>
          <w:szCs w:val="26"/>
          <w:highlight w:val="white"/>
          <w:rtl w:val="0"/>
        </w:rPr>
        <w:t xml:space="preserve">The loan level data only starts from 2006 and for certain variables it may be helpful for us to use the information before 2006 to train the model (lock-in effect in deep OTM situations etc).</w:t>
      </w:r>
    </w:p>
    <w:p w:rsidR="00000000" w:rsidDel="00000000" w:rsidP="00000000" w:rsidRDefault="00000000" w:rsidRPr="00000000" w14:paraId="00000012">
      <w:pPr>
        <w:rPr>
          <w:color w:val="222222"/>
          <w:sz w:val="26"/>
          <w:szCs w:val="26"/>
          <w:highlight w:val="white"/>
        </w:rPr>
      </w:pPr>
      <w:r w:rsidDel="00000000" w:rsidR="00000000" w:rsidRPr="00000000">
        <w:rPr>
          <w:rtl w:val="0"/>
        </w:rPr>
      </w:r>
    </w:p>
    <w:p w:rsidR="00000000" w:rsidDel="00000000" w:rsidP="00000000" w:rsidRDefault="00000000" w:rsidRPr="00000000" w14:paraId="00000013">
      <w:pPr>
        <w:rPr>
          <w:color w:val="222222"/>
          <w:sz w:val="26"/>
          <w:szCs w:val="26"/>
          <w:highlight w:val="white"/>
        </w:rPr>
      </w:pPr>
      <w:r w:rsidDel="00000000" w:rsidR="00000000" w:rsidRPr="00000000">
        <w:rPr>
          <w:color w:val="222222"/>
          <w:sz w:val="26"/>
          <w:szCs w:val="26"/>
          <w:highlight w:val="white"/>
          <w:rtl w:val="0"/>
        </w:rPr>
        <w:t xml:space="preserve">The plan has 3 basic components:</w:t>
      </w:r>
    </w:p>
    <w:p w:rsidR="00000000" w:rsidDel="00000000" w:rsidP="00000000" w:rsidRDefault="00000000" w:rsidRPr="00000000" w14:paraId="00000014">
      <w:pPr>
        <w:rPr>
          <w:color w:val="222222"/>
          <w:sz w:val="26"/>
          <w:szCs w:val="26"/>
          <w:highlight w:val="white"/>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color w:val="222222"/>
          <w:sz w:val="26"/>
          <w:szCs w:val="26"/>
          <w:highlight w:val="white"/>
        </w:rPr>
      </w:pPr>
      <w:r w:rsidDel="00000000" w:rsidR="00000000" w:rsidRPr="00000000">
        <w:rPr>
          <w:b w:val="1"/>
          <w:color w:val="222222"/>
          <w:sz w:val="26"/>
          <w:szCs w:val="26"/>
          <w:highlight w:val="white"/>
          <w:rtl w:val="0"/>
        </w:rPr>
        <w:t xml:space="preserve">Data Loading and Cleaning</w:t>
      </w:r>
    </w:p>
    <w:p w:rsidR="00000000" w:rsidDel="00000000" w:rsidP="00000000" w:rsidRDefault="00000000" w:rsidRPr="00000000" w14:paraId="00000016">
      <w:pPr>
        <w:rPr>
          <w:color w:val="222222"/>
          <w:sz w:val="26"/>
          <w:szCs w:val="26"/>
          <w:highlight w:val="white"/>
        </w:rPr>
      </w:pPr>
      <w:r w:rsidDel="00000000" w:rsidR="00000000" w:rsidRPr="00000000">
        <w:rPr>
          <w:b w:val="1"/>
          <w:color w:val="222222"/>
          <w:sz w:val="26"/>
          <w:szCs w:val="26"/>
          <w:highlight w:val="white"/>
          <w:rtl w:val="0"/>
        </w:rPr>
        <w:tab/>
      </w:r>
      <w:r w:rsidDel="00000000" w:rsidR="00000000" w:rsidRPr="00000000">
        <w:rPr>
          <w:color w:val="222222"/>
          <w:sz w:val="26"/>
          <w:szCs w:val="26"/>
          <w:highlight w:val="white"/>
          <w:rtl w:val="0"/>
        </w:rPr>
        <w:t xml:space="preserve">Loading data and filling in missing values</w:t>
      </w:r>
    </w:p>
    <w:p w:rsidR="00000000" w:rsidDel="00000000" w:rsidP="00000000" w:rsidRDefault="00000000" w:rsidRPr="00000000" w14:paraId="00000017">
      <w:pPr>
        <w:numPr>
          <w:ilvl w:val="0"/>
          <w:numId w:val="2"/>
        </w:numPr>
        <w:ind w:left="720" w:hanging="360"/>
        <w:rPr>
          <w:b w:val="1"/>
          <w:color w:val="222222"/>
          <w:sz w:val="26"/>
          <w:szCs w:val="26"/>
          <w:highlight w:val="white"/>
          <w:u w:val="none"/>
        </w:rPr>
      </w:pPr>
      <w:r w:rsidDel="00000000" w:rsidR="00000000" w:rsidRPr="00000000">
        <w:rPr>
          <w:b w:val="1"/>
          <w:color w:val="222222"/>
          <w:sz w:val="26"/>
          <w:szCs w:val="26"/>
          <w:highlight w:val="white"/>
          <w:rtl w:val="0"/>
        </w:rPr>
        <w:t xml:space="preserve">Incentive Calculations</w:t>
      </w:r>
    </w:p>
    <w:p w:rsidR="00000000" w:rsidDel="00000000" w:rsidP="00000000" w:rsidRDefault="00000000" w:rsidRPr="00000000" w14:paraId="00000018">
      <w:pPr>
        <w:numPr>
          <w:ilvl w:val="1"/>
          <w:numId w:val="2"/>
        </w:numPr>
        <w:ind w:left="1440" w:hanging="360"/>
        <w:rPr>
          <w:b w:val="1"/>
          <w:color w:val="222222"/>
          <w:sz w:val="26"/>
          <w:szCs w:val="26"/>
          <w:highlight w:val="white"/>
          <w:u w:val="none"/>
        </w:rPr>
      </w:pPr>
      <w:r w:rsidDel="00000000" w:rsidR="00000000" w:rsidRPr="00000000">
        <w:rPr>
          <w:b w:val="1"/>
          <w:color w:val="222222"/>
          <w:sz w:val="26"/>
          <w:szCs w:val="26"/>
          <w:highlight w:val="white"/>
          <w:rtl w:val="0"/>
        </w:rPr>
        <w:t xml:space="preserve">Mortgage Rates:</w:t>
      </w:r>
      <w:r w:rsidDel="00000000" w:rsidR="00000000" w:rsidRPr="00000000">
        <w:rPr>
          <w:color w:val="222222"/>
          <w:sz w:val="26"/>
          <w:szCs w:val="26"/>
          <w:highlight w:val="white"/>
          <w:rtl w:val="0"/>
        </w:rPr>
        <w:t xml:space="preserve"> For 15-year mortgages, the PMMS rate is available. For 20 year loans, there is no PMMS rate. So we use the spread between 30-year conventional WACs and 20-year WACs as the spread between the two mortgage rates. Then, we can calculate the 20-year rate based on the 30-year PMMS and a moving average spread.</w:t>
      </w:r>
    </w:p>
    <w:p w:rsidR="00000000" w:rsidDel="00000000" w:rsidP="00000000" w:rsidRDefault="00000000" w:rsidRPr="00000000" w14:paraId="00000019">
      <w:pPr>
        <w:numPr>
          <w:ilvl w:val="1"/>
          <w:numId w:val="2"/>
        </w:numPr>
        <w:ind w:left="1440" w:hanging="360"/>
        <w:rPr>
          <w:b w:val="1"/>
          <w:color w:val="222222"/>
          <w:sz w:val="26"/>
          <w:szCs w:val="26"/>
          <w:highlight w:val="white"/>
          <w:u w:val="none"/>
        </w:rPr>
      </w:pPr>
      <w:r w:rsidDel="00000000" w:rsidR="00000000" w:rsidRPr="00000000">
        <w:rPr>
          <w:b w:val="1"/>
          <w:color w:val="222222"/>
          <w:sz w:val="26"/>
          <w:szCs w:val="26"/>
          <w:highlight w:val="white"/>
          <w:rtl w:val="0"/>
        </w:rPr>
        <w:t xml:space="preserve">OrigPMI and CurrPMI</w:t>
      </w:r>
    </w:p>
    <w:p w:rsidR="00000000" w:rsidDel="00000000" w:rsidP="00000000" w:rsidRDefault="00000000" w:rsidRPr="00000000" w14:paraId="0000001A">
      <w:pPr>
        <w:numPr>
          <w:ilvl w:val="1"/>
          <w:numId w:val="2"/>
        </w:numPr>
        <w:ind w:left="1440" w:hanging="360"/>
        <w:rPr>
          <w:b w:val="1"/>
          <w:color w:val="222222"/>
          <w:sz w:val="26"/>
          <w:szCs w:val="26"/>
          <w:highlight w:val="white"/>
          <w:u w:val="none"/>
        </w:rPr>
      </w:pPr>
      <w:r w:rsidDel="00000000" w:rsidR="00000000" w:rsidRPr="00000000">
        <w:rPr>
          <w:b w:val="1"/>
          <w:color w:val="222222"/>
          <w:sz w:val="26"/>
          <w:szCs w:val="26"/>
          <w:highlight w:val="white"/>
          <w:rtl w:val="0"/>
        </w:rPr>
        <w:t xml:space="preserve">LLPAs</w:t>
      </w:r>
    </w:p>
    <w:p w:rsidR="00000000" w:rsidDel="00000000" w:rsidP="00000000" w:rsidRDefault="00000000" w:rsidRPr="00000000" w14:paraId="0000001B">
      <w:pPr>
        <w:numPr>
          <w:ilvl w:val="1"/>
          <w:numId w:val="2"/>
        </w:numPr>
        <w:ind w:left="1440" w:hanging="360"/>
        <w:rPr>
          <w:b w:val="1"/>
          <w:color w:val="222222"/>
          <w:sz w:val="26"/>
          <w:szCs w:val="26"/>
          <w:highlight w:val="white"/>
          <w:u w:val="none"/>
        </w:rPr>
      </w:pPr>
      <w:r w:rsidDel="00000000" w:rsidR="00000000" w:rsidRPr="00000000">
        <w:rPr>
          <w:b w:val="1"/>
          <w:color w:val="222222"/>
          <w:sz w:val="26"/>
          <w:szCs w:val="26"/>
          <w:highlight w:val="white"/>
          <w:rtl w:val="0"/>
        </w:rPr>
        <w:t xml:space="preserve">Dependence of refinance incentive on other mortgage products</w:t>
      </w:r>
    </w:p>
    <w:p w:rsidR="00000000" w:rsidDel="00000000" w:rsidP="00000000" w:rsidRDefault="00000000" w:rsidRPr="00000000" w14:paraId="0000001C">
      <w:pPr>
        <w:numPr>
          <w:ilvl w:val="2"/>
          <w:numId w:val="2"/>
        </w:numPr>
        <w:ind w:left="2160" w:hanging="360"/>
        <w:rPr>
          <w:color w:val="222222"/>
          <w:sz w:val="26"/>
          <w:szCs w:val="26"/>
          <w:highlight w:val="white"/>
        </w:rPr>
      </w:pPr>
      <w:r w:rsidDel="00000000" w:rsidR="00000000" w:rsidRPr="00000000">
        <w:rPr>
          <w:color w:val="222222"/>
          <w:sz w:val="26"/>
          <w:szCs w:val="26"/>
          <w:highlight w:val="white"/>
          <w:rtl w:val="0"/>
        </w:rPr>
        <w:t xml:space="preserve">Consider government 15-year mortgages? If so, need to also determine what the appropriate MIP matrix is for 20-years.</w:t>
      </w:r>
    </w:p>
    <w:p w:rsidR="00000000" w:rsidDel="00000000" w:rsidP="00000000" w:rsidRDefault="00000000" w:rsidRPr="00000000" w14:paraId="0000001D">
      <w:pPr>
        <w:numPr>
          <w:ilvl w:val="2"/>
          <w:numId w:val="2"/>
        </w:numPr>
        <w:ind w:left="2160" w:hanging="360"/>
        <w:rPr>
          <w:color w:val="222222"/>
          <w:sz w:val="26"/>
          <w:szCs w:val="26"/>
          <w:highlight w:val="white"/>
          <w:u w:val="none"/>
        </w:rPr>
      </w:pPr>
      <w:r w:rsidDel="00000000" w:rsidR="00000000" w:rsidRPr="00000000">
        <w:rPr>
          <w:color w:val="222222"/>
          <w:sz w:val="26"/>
          <w:szCs w:val="26"/>
          <w:highlight w:val="white"/>
          <w:rtl w:val="0"/>
        </w:rPr>
        <w:t xml:space="preserve">Consider fixed-rate to ARM refinancings?</w:t>
      </w:r>
    </w:p>
    <w:p w:rsidR="00000000" w:rsidDel="00000000" w:rsidP="00000000" w:rsidRDefault="00000000" w:rsidRPr="00000000" w14:paraId="0000001E">
      <w:pPr>
        <w:numPr>
          <w:ilvl w:val="2"/>
          <w:numId w:val="2"/>
        </w:numPr>
        <w:ind w:left="2160" w:hanging="360"/>
        <w:rPr>
          <w:color w:val="222222"/>
          <w:sz w:val="26"/>
          <w:szCs w:val="26"/>
          <w:highlight w:val="white"/>
          <w:u w:val="none"/>
        </w:rPr>
      </w:pPr>
      <w:r w:rsidDel="00000000" w:rsidR="00000000" w:rsidRPr="00000000">
        <w:rPr>
          <w:color w:val="222222"/>
          <w:sz w:val="26"/>
          <w:szCs w:val="26"/>
          <w:highlight w:val="white"/>
          <w:rtl w:val="0"/>
        </w:rPr>
        <w:t xml:space="preserve">Consider 30-year to 15-year yield curve slope?</w:t>
      </w:r>
    </w:p>
    <w:p w:rsidR="00000000" w:rsidDel="00000000" w:rsidP="00000000" w:rsidRDefault="00000000" w:rsidRPr="00000000" w14:paraId="0000001F">
      <w:pPr>
        <w:numPr>
          <w:ilvl w:val="0"/>
          <w:numId w:val="2"/>
        </w:numPr>
        <w:ind w:left="720" w:hanging="360"/>
        <w:rPr>
          <w:b w:val="1"/>
          <w:color w:val="222222"/>
          <w:sz w:val="26"/>
          <w:szCs w:val="26"/>
          <w:highlight w:val="white"/>
          <w:u w:val="none"/>
        </w:rPr>
      </w:pPr>
      <w:r w:rsidDel="00000000" w:rsidR="00000000" w:rsidRPr="00000000">
        <w:rPr>
          <w:b w:val="1"/>
          <w:color w:val="222222"/>
          <w:sz w:val="26"/>
          <w:szCs w:val="26"/>
          <w:highlight w:val="white"/>
          <w:rtl w:val="0"/>
        </w:rPr>
        <w:t xml:space="preserve">%HARPed Calculations: </w:t>
      </w:r>
      <w:r w:rsidDel="00000000" w:rsidR="00000000" w:rsidRPr="00000000">
        <w:rPr>
          <w:color w:val="222222"/>
          <w:sz w:val="26"/>
          <w:szCs w:val="26"/>
          <w:highlight w:val="white"/>
          <w:rtl w:val="0"/>
        </w:rPr>
        <w:t xml:space="preserve">For 30-year conventional loans, we use the mapping between the Credit data set and the Loan/Pool-level data set to identify HARed loans. However,  the rule may have to be revisited as Credit data has started to include limited documentation loans. As a first cut, we may decide to simply use the algorithm that employs the level of mortgage insurance and a logistic regression estimation to identify the probability of being HARPed.</w:t>
      </w:r>
    </w:p>
    <w:p w:rsidR="00000000" w:rsidDel="00000000" w:rsidP="00000000" w:rsidRDefault="00000000" w:rsidRPr="00000000" w14:paraId="00000020">
      <w:pPr>
        <w:rPr>
          <w:color w:val="222222"/>
          <w:sz w:val="26"/>
          <w:szCs w:val="26"/>
          <w:highlight w:val="white"/>
        </w:rPr>
      </w:pPr>
      <w:r w:rsidDel="00000000" w:rsidR="00000000" w:rsidRPr="00000000">
        <w:rPr>
          <w:rtl w:val="0"/>
        </w:rPr>
      </w:r>
    </w:p>
    <w:p w:rsidR="00000000" w:rsidDel="00000000" w:rsidP="00000000" w:rsidRDefault="00000000" w:rsidRPr="00000000" w14:paraId="00000021">
      <w:pPr>
        <w:numPr>
          <w:ilvl w:val="0"/>
          <w:numId w:val="3"/>
        </w:numPr>
        <w:ind w:left="720" w:hanging="360"/>
        <w:rPr>
          <w:b w:val="1"/>
          <w:color w:val="222222"/>
          <w:sz w:val="26"/>
          <w:szCs w:val="26"/>
          <w:highlight w:val="white"/>
        </w:rPr>
      </w:pPr>
      <w:r w:rsidDel="00000000" w:rsidR="00000000" w:rsidRPr="00000000">
        <w:rPr>
          <w:b w:val="1"/>
          <w:color w:val="222222"/>
          <w:sz w:val="26"/>
          <w:szCs w:val="26"/>
          <w:highlight w:val="white"/>
          <w:rtl w:val="0"/>
        </w:rPr>
        <w:t xml:space="preserve">Data Coverage </w:t>
      </w:r>
      <w:r w:rsidDel="00000000" w:rsidR="00000000" w:rsidRPr="00000000">
        <w:rPr>
          <w:rtl w:val="0"/>
        </w:rPr>
      </w:r>
    </w:p>
    <w:p w:rsidR="00000000" w:rsidDel="00000000" w:rsidP="00000000" w:rsidRDefault="00000000" w:rsidRPr="00000000" w14:paraId="00000022">
      <w:pPr>
        <w:rPr>
          <w:color w:val="222222"/>
          <w:sz w:val="26"/>
          <w:szCs w:val="26"/>
          <w:highlight w:val="white"/>
        </w:rPr>
      </w:pPr>
      <w:r w:rsidDel="00000000" w:rsidR="00000000" w:rsidRPr="00000000">
        <w:rPr>
          <w:rtl w:val="0"/>
        </w:rPr>
      </w:r>
    </w:p>
    <w:p w:rsidR="00000000" w:rsidDel="00000000" w:rsidP="00000000" w:rsidRDefault="00000000" w:rsidRPr="00000000" w14:paraId="00000023">
      <w:pPr>
        <w:rPr>
          <w:color w:val="222222"/>
          <w:sz w:val="26"/>
          <w:szCs w:val="26"/>
          <w:highlight w:val="white"/>
        </w:rPr>
      </w:pPr>
      <w:r w:rsidDel="00000000" w:rsidR="00000000" w:rsidRPr="00000000">
        <w:rPr>
          <w:rtl w:val="0"/>
        </w:rPr>
      </w:r>
    </w:p>
    <w:p w:rsidR="00000000" w:rsidDel="00000000" w:rsidP="00000000" w:rsidRDefault="00000000" w:rsidRPr="00000000" w14:paraId="00000024">
      <w:pPr>
        <w:jc w:val="center"/>
        <w:rPr>
          <w:i w:val="1"/>
          <w:color w:val="222222"/>
          <w:sz w:val="26"/>
          <w:szCs w:val="26"/>
          <w:highlight w:val="white"/>
        </w:rPr>
      </w:pPr>
      <w:r w:rsidDel="00000000" w:rsidR="00000000" w:rsidRPr="00000000">
        <w:rPr>
          <w:i w:val="1"/>
          <w:color w:val="222222"/>
          <w:sz w:val="26"/>
          <w:szCs w:val="26"/>
          <w:highlight w:val="white"/>
          <w:rtl w:val="0"/>
        </w:rPr>
        <w:t xml:space="preserve">Data Coverage Comparison for LL and PL</w:t>
      </w:r>
    </w:p>
    <w:p w:rsidR="00000000" w:rsidDel="00000000" w:rsidP="00000000" w:rsidRDefault="00000000" w:rsidRPr="00000000" w14:paraId="00000025">
      <w:pPr>
        <w:rPr>
          <w:color w:val="222222"/>
          <w:sz w:val="26"/>
          <w:szCs w:val="26"/>
          <w:highlight w:val="white"/>
        </w:rPr>
      </w:pPr>
      <w:r w:rsidDel="00000000" w:rsidR="00000000" w:rsidRPr="00000000">
        <w:rPr>
          <w:color w:val="222222"/>
          <w:sz w:val="26"/>
          <w:szCs w:val="26"/>
          <w:highlight w:val="white"/>
          <w:rtl w:val="0"/>
        </w:rPr>
        <w:t xml:space="preserve">Loan Level</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Starting</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Origination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Starting</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Asof Date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 15-year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FGCI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1993-05-01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2006-08-01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FHL 20-year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FGTW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2007-10-01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2006-08-01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FNM 15-year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1998-02-10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2012-01-01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FNM 20-year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2013-02-01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2012-01-01</w:t>
            </w:r>
          </w:p>
        </w:tc>
      </w:tr>
    </w:tbl>
    <w:p w:rsidR="00000000" w:rsidDel="00000000" w:rsidP="00000000" w:rsidRDefault="00000000" w:rsidRPr="00000000" w14:paraId="0000003C">
      <w:pPr>
        <w:rPr>
          <w:color w:val="222222"/>
          <w:sz w:val="26"/>
          <w:szCs w:val="26"/>
          <w:highlight w:val="white"/>
        </w:rPr>
      </w:pPr>
      <w:r w:rsidDel="00000000" w:rsidR="00000000" w:rsidRPr="00000000">
        <w:rPr>
          <w:rtl w:val="0"/>
        </w:rPr>
      </w:r>
    </w:p>
    <w:p w:rsidR="00000000" w:rsidDel="00000000" w:rsidP="00000000" w:rsidRDefault="00000000" w:rsidRPr="00000000" w14:paraId="0000003D">
      <w:pPr>
        <w:rPr>
          <w:color w:val="222222"/>
          <w:sz w:val="26"/>
          <w:szCs w:val="26"/>
          <w:highlight w:val="white"/>
        </w:rPr>
      </w:pPr>
      <w:r w:rsidDel="00000000" w:rsidR="00000000" w:rsidRPr="00000000">
        <w:rPr>
          <w:color w:val="222222"/>
          <w:sz w:val="26"/>
          <w:szCs w:val="26"/>
          <w:highlight w:val="white"/>
          <w:rtl w:val="0"/>
        </w:rPr>
        <w:t xml:space="preserve">Pool Level</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Starting</w:t>
            </w:r>
          </w:p>
          <w:p w:rsidR="00000000" w:rsidDel="00000000" w:rsidP="00000000" w:rsidRDefault="00000000" w:rsidRPr="00000000" w14:paraId="00000041">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Issue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Starting</w:t>
            </w:r>
          </w:p>
          <w:p w:rsidR="00000000" w:rsidDel="00000000" w:rsidP="00000000" w:rsidRDefault="00000000" w:rsidRPr="00000000" w14:paraId="0000004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Asof Date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FHL 15-year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FGCI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1990-10-01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1994-01-01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FHL 20-year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FGTW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1992-12-01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1994-01-01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FNM 15-year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1982-11-01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1994-01-01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FNM 20-year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1982-09-01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1994-01-01</w:t>
            </w:r>
          </w:p>
        </w:tc>
      </w:tr>
    </w:tbl>
    <w:p w:rsidR="00000000" w:rsidDel="00000000" w:rsidP="00000000" w:rsidRDefault="00000000" w:rsidRPr="00000000" w14:paraId="00000054">
      <w:pPr>
        <w:rPr>
          <w:color w:val="222222"/>
          <w:sz w:val="26"/>
          <w:szCs w:val="26"/>
          <w:highlight w:val="white"/>
        </w:rPr>
      </w:pPr>
      <w:r w:rsidDel="00000000" w:rsidR="00000000" w:rsidRPr="00000000">
        <w:rPr>
          <w:rtl w:val="0"/>
        </w:rPr>
      </w:r>
    </w:p>
    <w:p w:rsidR="00000000" w:rsidDel="00000000" w:rsidP="00000000" w:rsidRDefault="00000000" w:rsidRPr="00000000" w14:paraId="00000055">
      <w:pPr>
        <w:rPr>
          <w:color w:val="222222"/>
          <w:sz w:val="26"/>
          <w:szCs w:val="26"/>
          <w:highlight w:val="white"/>
        </w:rPr>
      </w:pPr>
      <w:r w:rsidDel="00000000" w:rsidR="00000000" w:rsidRPr="00000000">
        <w:rPr>
          <w:rtl w:val="0"/>
        </w:rPr>
      </w:r>
    </w:p>
    <w:p w:rsidR="00000000" w:rsidDel="00000000" w:rsidP="00000000" w:rsidRDefault="00000000" w:rsidRPr="00000000" w14:paraId="00000056">
      <w:pPr>
        <w:rPr>
          <w:color w:val="222222"/>
          <w:sz w:val="26"/>
          <w:szCs w:val="26"/>
          <w:highlight w:val="white"/>
        </w:rPr>
      </w:pPr>
      <w:r w:rsidDel="00000000" w:rsidR="00000000" w:rsidRPr="00000000">
        <w:rPr>
          <w:rtl w:val="0"/>
        </w:rPr>
      </w:r>
    </w:p>
    <w:p w:rsidR="00000000" w:rsidDel="00000000" w:rsidP="00000000" w:rsidRDefault="00000000" w:rsidRPr="00000000" w14:paraId="00000057">
      <w:pPr>
        <w:numPr>
          <w:ilvl w:val="0"/>
          <w:numId w:val="3"/>
        </w:numPr>
        <w:ind w:left="720" w:hanging="360"/>
        <w:rPr>
          <w:b w:val="1"/>
          <w:color w:val="222222"/>
          <w:sz w:val="26"/>
          <w:szCs w:val="26"/>
          <w:highlight w:val="white"/>
        </w:rPr>
      </w:pPr>
      <w:r w:rsidDel="00000000" w:rsidR="00000000" w:rsidRPr="00000000">
        <w:rPr>
          <w:b w:val="1"/>
          <w:color w:val="222222"/>
          <w:sz w:val="26"/>
          <w:szCs w:val="26"/>
          <w:highlight w:val="white"/>
          <w:rtl w:val="0"/>
        </w:rPr>
        <w:t xml:space="preserve">Key Scale DB Tables</w:t>
      </w:r>
    </w:p>
    <w:p w:rsidR="00000000" w:rsidDel="00000000" w:rsidP="00000000" w:rsidRDefault="00000000" w:rsidRPr="00000000" w14:paraId="00000058">
      <w:pPr>
        <w:rPr>
          <w:b w:val="1"/>
          <w:color w:val="222222"/>
          <w:sz w:val="26"/>
          <w:szCs w:val="26"/>
          <w:highlight w:val="white"/>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250"/>
        <w:gridCol w:w="1770"/>
        <w:gridCol w:w="3525"/>
        <w:tblGridChange w:id="0">
          <w:tblGrid>
            <w:gridCol w:w="1815"/>
            <w:gridCol w:w="2250"/>
            <w:gridCol w:w="1770"/>
            <w:gridCol w:w="352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Comments</w:t>
            </w:r>
          </w:p>
        </w:tc>
      </w:tr>
      <w:tr>
        <w:trPr>
          <w:trHeight w:val="4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fhl_loan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origLoanSize</w:t>
              <w:br w:type="textWrapping"/>
              <w:t xml:space="preserve">numberUnits</w:t>
              <w:br w:type="textWrapping"/>
              <w:t xml:space="preserve">origFICO</w:t>
              <w:br w:type="textWrapping"/>
              <w:t xml:space="preserve">dti</w:t>
              <w:br w:type="textWrapping"/>
              <w:t xml:space="preserve">origNoteRate</w:t>
              <w:br w:type="textWrapping"/>
              <w:t xml:space="preserve">miLevel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white"/>
              </w:rPr>
            </w:pPr>
            <w:r w:rsidDel="00000000" w:rsidR="00000000" w:rsidRPr="00000000">
              <w:rPr>
                <w:color w:val="0000ff"/>
                <w:sz w:val="20"/>
                <w:szCs w:val="20"/>
                <w:highlight w:val="white"/>
                <w:rtl w:val="0"/>
              </w:rPr>
              <w:t xml:space="preserve">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origLTV</w:t>
            </w:r>
          </w:p>
          <w:p w:rsidR="00000000" w:rsidDel="00000000" w:rsidP="00000000" w:rsidRDefault="00000000" w:rsidRPr="00000000" w14:paraId="0000006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HPI_orig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Cello 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Use the new HPA model</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0000ff"/>
                <w:sz w:val="20"/>
                <w:szCs w:val="20"/>
                <w:highlight w:val="white"/>
              </w:rPr>
            </w:pPr>
            <w:r w:rsidDel="00000000" w:rsidR="00000000" w:rsidRPr="00000000">
              <w:rPr>
                <w:color w:val="0000ff"/>
                <w:sz w:val="20"/>
                <w:szCs w:val="20"/>
                <w:highlight w:val="white"/>
                <w:rtl w:val="0"/>
              </w:rPr>
              <w:t xml:space="preserve">percentHARPed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Credit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Need to revisit the mapping</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origPMI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PMI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red"/>
              </w:rPr>
            </w:pPr>
            <w:r w:rsidDel="00000000" w:rsidR="00000000" w:rsidRPr="00000000">
              <w:rPr>
                <w:color w:val="222222"/>
                <w:sz w:val="20"/>
                <w:szCs w:val="20"/>
                <w:highlight w:val="red"/>
                <w:rtl w:val="0"/>
              </w:rPr>
              <w:t xml:space="preserve">Use the 30-year PMI table</w:t>
            </w:r>
          </w:p>
        </w:tc>
      </w:tr>
      <w:tr>
        <w:trPr>
          <w:trHeight w:val="4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fhl_loanhist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Cello 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Use the new HPA model</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cltv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Switch to current bal for CLTV</w:t>
            </w:r>
          </w:p>
        </w:tc>
      </w:tr>
      <w:tr>
        <w:trPr>
          <w:trHeight w:val="4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fhl_LoanEligibility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HARP_eligible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HARP program end date extends from 2017-09-01 to 2018-12-31, see more at: https://www.fhfa.gov/Media/PublicAffairs/Pages/FHFA-Announces-Modifications-to-High-LTV-Streamlined-Refi-Program-and-Extension-of-HARP-Thru-12-2018.aspx</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conventional_eligible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LLPA Table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PMI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fha_eligible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MIP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Use the 15 year MIP standard</w:t>
            </w:r>
          </w:p>
        </w:tc>
      </w:tr>
      <w:tr>
        <w:trPr>
          <w:trHeight w:val="4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fhl_LoanIncentive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color w:val="222222"/>
                <w:sz w:val="20"/>
                <w:szCs w:val="20"/>
                <w:highlight w:val="white"/>
              </w:rPr>
            </w:pPr>
            <w:r w:rsidDel="00000000" w:rsidR="00000000" w:rsidRPr="00000000">
              <w:rPr>
                <w:color w:val="0000ff"/>
                <w:sz w:val="20"/>
                <w:szCs w:val="20"/>
                <w:highlight w:val="white"/>
                <w:rtl w:val="0"/>
              </w:rPr>
              <w:t xml:space="preserve">conventional_refi_incentive</w:t>
              <w:br w:type="textWrapping"/>
            </w:r>
            <w:r w:rsidDel="00000000" w:rsidR="00000000" w:rsidRPr="00000000">
              <w:rPr>
                <w:color w:val="222222"/>
                <w:sz w:val="20"/>
                <w:szCs w:val="20"/>
                <w:highlight w:val="white"/>
                <w:rtl w:val="0"/>
              </w:rPr>
              <w:t xml:space="preserve">currLLPA</w:t>
              <w:br w:type="textWrapping"/>
              <w:t xml:space="preserve">currPMI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15-year mtg rate</w:t>
            </w:r>
          </w:p>
          <w:p w:rsidR="00000000" w:rsidDel="00000000" w:rsidP="00000000" w:rsidRDefault="00000000" w:rsidRPr="00000000" w14:paraId="0000008A">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20-year mtg rate</w:t>
            </w:r>
          </w:p>
          <w:p w:rsidR="00000000" w:rsidDel="00000000" w:rsidP="00000000" w:rsidRDefault="00000000" w:rsidRPr="00000000" w14:paraId="0000008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LLPA Table</w:t>
            </w:r>
          </w:p>
          <w:p w:rsidR="00000000" w:rsidDel="00000000" w:rsidP="00000000" w:rsidRDefault="00000000" w:rsidRPr="00000000" w14:paraId="0000008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PMI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Switch to 3.0 Mortgage Rate Model</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0000ff"/>
                <w:sz w:val="20"/>
                <w:szCs w:val="20"/>
                <w:highlight w:val="white"/>
              </w:rPr>
            </w:pPr>
            <w:r w:rsidDel="00000000" w:rsidR="00000000" w:rsidRPr="00000000">
              <w:rPr>
                <w:color w:val="0000ff"/>
                <w:sz w:val="20"/>
                <w:szCs w:val="20"/>
                <w:highlight w:val="white"/>
                <w:rtl w:val="0"/>
              </w:rPr>
              <w:t xml:space="preserve">fha_refi_incentive</w:t>
            </w:r>
          </w:p>
          <w:p w:rsidR="00000000" w:rsidDel="00000000" w:rsidP="00000000" w:rsidRDefault="00000000" w:rsidRPr="00000000" w14:paraId="0000009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currMIP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ff0000"/>
                <w:sz w:val="20"/>
                <w:szCs w:val="20"/>
                <w:highlight w:val="white"/>
              </w:rPr>
            </w:pPr>
            <w:r w:rsidDel="00000000" w:rsidR="00000000" w:rsidRPr="00000000">
              <w:rPr>
                <w:color w:val="222222"/>
                <w:sz w:val="20"/>
                <w:szCs w:val="20"/>
                <w:highlight w:val="white"/>
                <w:rtl w:val="0"/>
              </w:rPr>
              <w:t xml:space="preserve">GNMA mtg rate</w:t>
            </w:r>
            <w:r w:rsidDel="00000000" w:rsidR="00000000" w:rsidRPr="00000000">
              <w:rPr>
                <w:color w:val="ff0000"/>
                <w:sz w:val="20"/>
                <w:szCs w:val="20"/>
                <w:highlight w:val="white"/>
                <w:rtl w:val="0"/>
              </w:rPr>
              <w:t xml:space="preserve">?</w:t>
            </w:r>
          </w:p>
          <w:p w:rsidR="00000000" w:rsidDel="00000000" w:rsidP="00000000" w:rsidRDefault="00000000" w:rsidRPr="00000000" w14:paraId="0000009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MIP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Not sure if we need 15/20 year GNMA rate</w:t>
            </w:r>
          </w:p>
          <w:p w:rsidR="00000000" w:rsidDel="00000000" w:rsidP="00000000" w:rsidRDefault="00000000" w:rsidRPr="00000000" w14:paraId="0000009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Use the 15 year MIP standard</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refi_incentive_eligible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fhl_loanburnout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tc>
      </w:tr>
    </w:tbl>
    <w:p w:rsidR="00000000" w:rsidDel="00000000" w:rsidP="00000000" w:rsidRDefault="00000000" w:rsidRPr="00000000" w14:paraId="0000009D">
      <w:pPr>
        <w:rPr>
          <w:color w:val="222222"/>
          <w:sz w:val="26"/>
          <w:szCs w:val="26"/>
          <w:highlight w:val="white"/>
        </w:rPr>
      </w:pPr>
      <w:r w:rsidDel="00000000" w:rsidR="00000000" w:rsidRPr="00000000">
        <w:rPr>
          <w:rtl w:val="0"/>
        </w:rPr>
      </w:r>
    </w:p>
    <w:p w:rsidR="00000000" w:rsidDel="00000000" w:rsidP="00000000" w:rsidRDefault="00000000" w:rsidRPr="00000000" w14:paraId="0000009E">
      <w:pPr>
        <w:rPr>
          <w:color w:val="222222"/>
          <w:sz w:val="26"/>
          <w:szCs w:val="26"/>
          <w:highlight w:val="white"/>
        </w:rPr>
      </w:pPr>
      <w:r w:rsidDel="00000000" w:rsidR="00000000" w:rsidRPr="00000000">
        <w:rPr>
          <w:rtl w:val="0"/>
        </w:rPr>
      </w:r>
    </w:p>
    <w:p w:rsidR="00000000" w:rsidDel="00000000" w:rsidP="00000000" w:rsidRDefault="00000000" w:rsidRPr="00000000" w14:paraId="0000009F">
      <w:pPr>
        <w:rPr>
          <w:color w:val="222222"/>
          <w:sz w:val="26"/>
          <w:szCs w:val="26"/>
          <w:highlight w:val="white"/>
        </w:rPr>
      </w:pPr>
      <w:r w:rsidDel="00000000" w:rsidR="00000000" w:rsidRPr="00000000">
        <w:rPr>
          <w:color w:val="222222"/>
          <w:sz w:val="26"/>
          <w:szCs w:val="26"/>
          <w:highlight w:val="white"/>
          <w:rtl w:val="0"/>
        </w:rPr>
        <w:t xml:space="preserve">For the PMI,LLPA and MIP tables, different version will be applied to the corresponding product:</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sz w:val="26"/>
                <w:szCs w:val="26"/>
                <w:highlight w:val="white"/>
              </w:rPr>
            </w:pPr>
            <w:r w:rsidDel="00000000" w:rsidR="00000000" w:rsidRPr="00000000">
              <w:rPr>
                <w:b w:val="1"/>
                <w:color w:val="222222"/>
                <w:sz w:val="26"/>
                <w:szCs w:val="26"/>
                <w:highlight w:val="white"/>
                <w:rtl w:val="0"/>
              </w:rPr>
              <w:t xml:space="preserve">30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sz w:val="26"/>
                <w:szCs w:val="26"/>
                <w:highlight w:val="white"/>
              </w:rPr>
            </w:pPr>
            <w:r w:rsidDel="00000000" w:rsidR="00000000" w:rsidRPr="00000000">
              <w:rPr>
                <w:b w:val="1"/>
                <w:color w:val="222222"/>
                <w:sz w:val="26"/>
                <w:szCs w:val="26"/>
                <w:highlight w:val="white"/>
                <w:rtl w:val="0"/>
              </w:rPr>
              <w:t xml:space="preserve">20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sz w:val="26"/>
                <w:szCs w:val="26"/>
                <w:highlight w:val="white"/>
              </w:rPr>
            </w:pPr>
            <w:r w:rsidDel="00000000" w:rsidR="00000000" w:rsidRPr="00000000">
              <w:rPr>
                <w:b w:val="1"/>
                <w:color w:val="222222"/>
                <w:sz w:val="26"/>
                <w:szCs w:val="26"/>
                <w:highlight w:val="white"/>
                <w:rtl w:val="0"/>
              </w:rPr>
              <w:t xml:space="preserve">15 Year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&gt; 20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&lt;= 20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&lt;= 20 Year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LLPA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&gt;= 20 Year</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Divided by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&gt;= 20 Year</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Divided by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Null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MIP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&gt; 15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&gt; 15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6"/>
                <w:szCs w:val="26"/>
                <w:highlight w:val="white"/>
              </w:rPr>
            </w:pPr>
            <w:r w:rsidDel="00000000" w:rsidR="00000000" w:rsidRPr="00000000">
              <w:rPr>
                <w:color w:val="222222"/>
                <w:sz w:val="26"/>
                <w:szCs w:val="26"/>
                <w:highlight w:val="white"/>
                <w:rtl w:val="0"/>
              </w:rPr>
              <w:t xml:space="preserve">&lt;= 15 Year</w:t>
            </w:r>
          </w:p>
        </w:tc>
      </w:tr>
    </w:tbl>
    <w:p w:rsidR="00000000" w:rsidDel="00000000" w:rsidP="00000000" w:rsidRDefault="00000000" w:rsidRPr="00000000" w14:paraId="000000B2">
      <w:pPr>
        <w:rPr>
          <w:color w:val="222222"/>
          <w:sz w:val="26"/>
          <w:szCs w:val="26"/>
          <w:highlight w:val="white"/>
        </w:rPr>
      </w:pPr>
      <w:r w:rsidDel="00000000" w:rsidR="00000000" w:rsidRPr="00000000">
        <w:rPr>
          <w:rtl w:val="0"/>
        </w:rPr>
      </w:r>
    </w:p>
    <w:p w:rsidR="00000000" w:rsidDel="00000000" w:rsidP="00000000" w:rsidRDefault="00000000" w:rsidRPr="00000000" w14:paraId="000000B3">
      <w:pPr>
        <w:rPr>
          <w:color w:val="222222"/>
          <w:sz w:val="26"/>
          <w:szCs w:val="26"/>
          <w:highlight w:val="white"/>
        </w:rPr>
      </w:pPr>
      <w:r w:rsidDel="00000000" w:rsidR="00000000" w:rsidRPr="00000000">
        <w:rPr>
          <w:rtl w:val="0"/>
        </w:rPr>
      </w:r>
    </w:p>
    <w:p w:rsidR="00000000" w:rsidDel="00000000" w:rsidP="00000000" w:rsidRDefault="00000000" w:rsidRPr="00000000" w14:paraId="000000B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color w:val="222222"/>
          <w:sz w:val="26"/>
          <w:szCs w:val="26"/>
          <w:highlight w:val="white"/>
        </w:rPr>
      </w:pPr>
      <w:r w:rsidDel="00000000" w:rsidR="00000000" w:rsidRPr="00000000">
        <w:rPr>
          <w:b w:val="1"/>
          <w:color w:val="222222"/>
          <w:sz w:val="26"/>
          <w:szCs w:val="26"/>
          <w:highlight w:val="white"/>
          <w:rtl w:val="0"/>
        </w:rPr>
        <w:t xml:space="preserve">Progress Tracker</w:t>
      </w:r>
      <w:r w:rsidDel="00000000" w:rsidR="00000000" w:rsidRPr="00000000">
        <w:rPr>
          <w:rtl w:val="0"/>
        </w:rPr>
      </w:r>
    </w:p>
    <w:p w:rsidR="00000000" w:rsidDel="00000000" w:rsidP="00000000" w:rsidRDefault="00000000" w:rsidRPr="00000000" w14:paraId="000000B5">
      <w:pPr>
        <w:rPr>
          <w:color w:val="222222"/>
          <w:sz w:val="26"/>
          <w:szCs w:val="26"/>
          <w:highlight w:val="white"/>
        </w:rPr>
      </w:pPr>
      <w:r w:rsidDel="00000000" w:rsidR="00000000" w:rsidRPr="00000000">
        <w:rPr>
          <w:rtl w:val="0"/>
        </w:rPr>
      </w:r>
    </w:p>
    <w:p w:rsidR="00000000" w:rsidDel="00000000" w:rsidP="00000000" w:rsidRDefault="00000000" w:rsidRPr="00000000" w14:paraId="000000B6">
      <w:pPr>
        <w:rPr>
          <w:color w:val="222222"/>
          <w:sz w:val="26"/>
          <w:szCs w:val="26"/>
          <w:highlight w:val="white"/>
        </w:rPr>
      </w:pPr>
      <w:r w:rsidDel="00000000" w:rsidR="00000000" w:rsidRPr="00000000">
        <w:rPr>
          <w:color w:val="222222"/>
          <w:sz w:val="26"/>
          <w:szCs w:val="26"/>
          <w:highlight w:val="white"/>
          <w:rtl w:val="0"/>
        </w:rPr>
        <w:t xml:space="preserve">Here is a project progress tracker. We can use this to keep track of our progress:</w:t>
      </w:r>
    </w:p>
    <w:p w:rsidR="00000000" w:rsidDel="00000000" w:rsidP="00000000" w:rsidRDefault="00000000" w:rsidRPr="00000000" w14:paraId="000000B7">
      <w:pPr>
        <w:rPr>
          <w:color w:val="222222"/>
          <w:sz w:val="26"/>
          <w:szCs w:val="26"/>
          <w:highlight w:val="white"/>
        </w:rPr>
      </w:pPr>
      <w:hyperlink r:id="rId7">
        <w:r w:rsidDel="00000000" w:rsidR="00000000" w:rsidRPr="00000000">
          <w:rPr>
            <w:color w:val="1155cc"/>
            <w:sz w:val="26"/>
            <w:szCs w:val="26"/>
            <w:highlight w:val="white"/>
            <w:u w:val="single"/>
            <w:rtl w:val="0"/>
          </w:rPr>
          <w:t xml:space="preserve">https://docs.google.com/spreadsheets/d/1Rux3QJMnBnEn-tTTBJRXDZnNaijkoVFXj3n9rUwiIIE/edit#gid=0</w:t>
        </w:r>
      </w:hyperlink>
      <w:r w:rsidDel="00000000" w:rsidR="00000000" w:rsidRPr="00000000">
        <w:rPr>
          <w:rtl w:val="0"/>
        </w:rPr>
      </w:r>
    </w:p>
    <w:p w:rsidR="00000000" w:rsidDel="00000000" w:rsidP="00000000" w:rsidRDefault="00000000" w:rsidRPr="00000000" w14:paraId="000000B8">
      <w:pPr>
        <w:rPr>
          <w:color w:val="222222"/>
          <w:sz w:val="26"/>
          <w:szCs w:val="26"/>
          <w:highlight w:val="white"/>
        </w:rPr>
      </w:pPr>
      <w:r w:rsidDel="00000000" w:rsidR="00000000" w:rsidRPr="00000000">
        <w:rPr>
          <w:rtl w:val="0"/>
        </w:rPr>
      </w:r>
    </w:p>
    <w:p w:rsidR="00000000" w:rsidDel="00000000" w:rsidP="00000000" w:rsidRDefault="00000000" w:rsidRPr="00000000" w14:paraId="000000B9">
      <w:pPr>
        <w:rPr>
          <w:color w:val="222222"/>
          <w:sz w:val="26"/>
          <w:szCs w:val="26"/>
          <w:highlight w:val="whit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theory, we could also try to fit to the loan-level data available on the Credit Data set or try to populate the </w:t>
      </w:r>
      <w:r w:rsidDel="00000000" w:rsidR="00000000" w:rsidRPr="00000000">
        <w:rPr>
          <w:rFonts w:ascii="Courier New" w:cs="Courier New" w:eastAsia="Courier New" w:hAnsi="Courier New"/>
          <w:sz w:val="20"/>
          <w:szCs w:val="20"/>
          <w:rtl w:val="0"/>
        </w:rPr>
        <w:t xml:space="preserve">loanRemovalReason</w:t>
      </w:r>
      <w:r w:rsidDel="00000000" w:rsidR="00000000" w:rsidRPr="00000000">
        <w:rPr>
          <w:sz w:val="20"/>
          <w:szCs w:val="20"/>
          <w:rtl w:val="0"/>
        </w:rPr>
        <w:t xml:space="preserve"> field for conventional loans but this may take a while to do and defaults are going to be a small contributor to prepayment rates.</w:t>
      </w:r>
    </w:p>
  </w:footnote>
  <w:footnote w:id="0">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no pool-level Ginnie Mae coverage because of the decision to have separate submodels for the individual government programs (FHA, VA, RHS, PIH) which can only realistically be done with loan-level data.</w:t>
      </w:r>
    </w:p>
  </w:footnote>
  <w:footnote w:id="2">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no pool-level tracking for Ginnie Mae 30-years because even though it is possible to break each pool into separate replines corresponding to the different programs, we are forced to assume each repline has identical characteristics. We do not have loan-level tracking for Fannie Mae/Freddie Mac 30-years because the processing time required to produce such a file is currently ~25 hours.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Rux3QJMnBnEn-tTTBJRXDZnNaijkoVFXj3n9rUwiIIE/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