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4"/>
          <w:szCs w:val="24"/>
          <w:highlight w:val="white"/>
        </w:rPr>
      </w:pPr>
      <w:r w:rsidDel="00000000" w:rsidR="00000000" w:rsidRPr="00000000">
        <w:rPr>
          <w:b w:val="1"/>
          <w:color w:val="222222"/>
          <w:sz w:val="28"/>
          <w:szCs w:val="28"/>
          <w:highlight w:val="white"/>
          <w:rtl w:val="0"/>
        </w:rPr>
        <w:t xml:space="preserve">Buyouts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Buyouts are most correlated with 60+. In theory it is possible to buy out loans without loan showing up in 90+ data</w:t>
      </w: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  <w:highlight w:val="white"/>
        </w:rPr>
      </w:pPr>
      <w:r w:rsidDel="00000000" w:rsidR="00000000" w:rsidRPr="00000000">
        <w:rPr>
          <w:b w:val="1"/>
          <w:color w:val="222222"/>
          <w:sz w:val="28"/>
          <w:szCs w:val="28"/>
          <w:highlight w:val="white"/>
          <w:rtl w:val="0"/>
        </w:rPr>
        <w:t xml:space="preserve">Data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Loan level data starts from 2013-08: it includes LL data on all outstanding pools.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Pool-level delinquency information: starts from 2005-11 (both GNSF and G2SF). Delinquency information includes 30-day, 60-day, 90+, and foreclosed.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Pool-level default information (this is equal to the amount of repurchased delinquent loans): starts from 2005-11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Loan-level delinquency information by program type (FHA/VA/RD/PIH): starts from 2013-08</w:t>
      </w:r>
    </w:p>
    <w:p w:rsidR="00000000" w:rsidDel="00000000" w:rsidP="00000000" w:rsidRDefault="00000000" w:rsidRPr="00000000" w14:paraId="00000009">
      <w:pPr>
        <w:rPr>
          <w:b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b w:val="1"/>
          <w:color w:val="222222"/>
          <w:sz w:val="28"/>
          <w:szCs w:val="28"/>
          <w:highlight w:val="white"/>
          <w:rtl w:val="0"/>
        </w:rPr>
        <w:t xml:space="preserve">Loan-level Default Calculations</w:t>
      </w:r>
    </w:p>
    <w:p w:rsidR="00000000" w:rsidDel="00000000" w:rsidP="00000000" w:rsidRDefault="00000000" w:rsidRPr="00000000" w14:paraId="0000000B">
      <w:pPr>
        <w:rPr>
          <w:color w:val="0000ff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We calculate CDR for loans where gnm.Cello_Loan.</w:t>
      </w:r>
      <w:r w:rsidDel="00000000" w:rsidR="00000000" w:rsidRPr="00000000">
        <w:rPr>
          <w:color w:val="9900ff"/>
          <w:sz w:val="24"/>
          <w:szCs w:val="24"/>
          <w:highlight w:val="white"/>
          <w:rtl w:val="0"/>
        </w:rPr>
        <w:t xml:space="preserve">removalReasonType  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</w:t>
      </w:r>
      <w:r w:rsidDel="00000000" w:rsidR="00000000" w:rsidRPr="00000000">
        <w:rPr>
          <w:color w:val="0000ff"/>
          <w:sz w:val="24"/>
          <w:szCs w:val="24"/>
          <w:highlight w:val="white"/>
          <w:rtl w:val="0"/>
        </w:rPr>
        <w:t xml:space="preserve"> ('FORECL','RPDEL','REPLMT')</w:t>
      </w:r>
    </w:p>
    <w:p w:rsidR="00000000" w:rsidDel="00000000" w:rsidP="00000000" w:rsidRDefault="00000000" w:rsidRPr="00000000" w14:paraId="0000000C">
      <w:pPr>
        <w:rPr>
          <w:color w:val="0000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0000ff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0000ff"/>
          <w:sz w:val="24"/>
          <w:szCs w:val="24"/>
          <w:highlight w:val="white"/>
          <w:rtl w:val="0"/>
        </w:rPr>
        <w:t xml:space="preserve">1. 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 Ginnie Mae servicers don't always buyout all loans that are </w:t>
      </w: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delinquent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 because the capital for loan repurchase has to come from the individual servicer. This means that a loan could go all the way to foreclosure before it gets bought out.</w:t>
      </w:r>
    </w:p>
    <w:p w:rsidR="00000000" w:rsidDel="00000000" w:rsidP="00000000" w:rsidRDefault="00000000" w:rsidRPr="00000000" w14:paraId="0000000F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2. Nomura does include "Others" in their default-related calculations in addition to </w:t>
      </w:r>
      <w:r w:rsidDel="00000000" w:rsidR="00000000" w:rsidRPr="00000000">
        <w:rPr>
          <w:color w:val="0000ff"/>
          <w:sz w:val="24"/>
          <w:szCs w:val="24"/>
          <w:highlight w:val="white"/>
          <w:rtl w:val="0"/>
        </w:rPr>
        <w:t xml:space="preserve">('FORECL','RPDEL','REPLMT').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However, they do think this should have minimal impact as their calculations suggest that is about 0.30%-1% of the total default-related amounts over time.</w:t>
      </w:r>
    </w:p>
    <w:p w:rsidR="00000000" w:rsidDel="00000000" w:rsidP="00000000" w:rsidRDefault="00000000" w:rsidRPr="00000000" w14:paraId="00000011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b w:val="1"/>
          <w:color w:val="222222"/>
          <w:sz w:val="28"/>
          <w:szCs w:val="28"/>
          <w:highlight w:val="white"/>
          <w:rtl w:val="0"/>
        </w:rPr>
        <w:t xml:space="preserve">Reperfomers</w:t>
      </w:r>
    </w:p>
    <w:p w:rsidR="00000000" w:rsidDel="00000000" w:rsidP="00000000" w:rsidRDefault="00000000" w:rsidRPr="00000000" w14:paraId="00000013">
      <w:pPr>
        <w:rPr>
          <w:b w:val="1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Reperformers will include the following categories of borrowers:</w:t>
      </w:r>
    </w:p>
    <w:p w:rsidR="00000000" w:rsidDel="00000000" w:rsidP="00000000" w:rsidRDefault="00000000" w:rsidRPr="00000000" w14:paraId="00000015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a)   </w:t>
        <w:tab/>
        <w:t xml:space="preserve">Loan origination month more than 6 months prior to pool issue month</w:t>
      </w:r>
    </w:p>
    <w:p w:rsidR="00000000" w:rsidDel="00000000" w:rsidP="00000000" w:rsidRDefault="00000000" w:rsidRPr="00000000" w14:paraId="00000016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b)   </w:t>
        <w:tab/>
        <w:t xml:space="preserve">Loan purpose either HAMP Mod or Non-HAMP Mod</w:t>
      </w:r>
    </w:p>
    <w:p w:rsidR="00000000" w:rsidDel="00000000" w:rsidP="00000000" w:rsidRDefault="00000000" w:rsidRPr="00000000" w14:paraId="00000017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c)   </w:t>
        <w:tab/>
        <w:t xml:space="preserve">For FHA borrowers,  missing Upfront MIP or Annual MIP (null or 0)</w:t>
      </w:r>
    </w:p>
    <w:p w:rsidR="00000000" w:rsidDel="00000000" w:rsidP="00000000" w:rsidRDefault="00000000" w:rsidRPr="00000000" w14:paraId="00000018">
      <w:pPr>
        <w:rPr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