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color w:val="222222"/>
          <w:sz w:val="28"/>
          <w:szCs w:val="28"/>
        </w:rPr>
      </w:pPr>
      <w:r w:rsidDel="00000000" w:rsidR="00000000" w:rsidRPr="00000000">
        <w:rPr>
          <w:color w:val="222222"/>
          <w:sz w:val="28"/>
          <w:szCs w:val="28"/>
          <w:rtl w:val="0"/>
        </w:rPr>
        <w:t xml:space="preserve">There are two related but not identical requests:</w:t>
      </w:r>
    </w:p>
    <w:p w:rsidR="00000000" w:rsidDel="00000000" w:rsidP="00000000" w:rsidRDefault="00000000" w:rsidRPr="00000000" w14:paraId="00000002">
      <w:pPr>
        <w:rPr>
          <w:color w:val="222222"/>
          <w:sz w:val="28"/>
          <w:szCs w:val="28"/>
        </w:rPr>
      </w:pPr>
      <w:r w:rsidDel="00000000" w:rsidR="00000000" w:rsidRPr="00000000">
        <w:rPr>
          <w:rtl w:val="0"/>
        </w:rPr>
      </w:r>
    </w:p>
    <w:p w:rsidR="00000000" w:rsidDel="00000000" w:rsidP="00000000" w:rsidRDefault="00000000" w:rsidRPr="00000000" w14:paraId="00000003">
      <w:pPr>
        <w:numPr>
          <w:ilvl w:val="0"/>
          <w:numId w:val="1"/>
        </w:numPr>
        <w:ind w:left="720" w:hanging="360"/>
        <w:rPr>
          <w:color w:val="222222"/>
          <w:sz w:val="28"/>
          <w:szCs w:val="28"/>
          <w:u w:val="none"/>
        </w:rPr>
      </w:pPr>
      <w:r w:rsidDel="00000000" w:rsidR="00000000" w:rsidRPr="00000000">
        <w:rPr>
          <w:b w:val="1"/>
          <w:color w:val="222222"/>
          <w:sz w:val="28"/>
          <w:szCs w:val="28"/>
          <w:rtl w:val="0"/>
        </w:rPr>
        <w:t xml:space="preserve">ScaleDB supports Backward Compatibility (BC) for prepayment models</w:t>
      </w:r>
      <w:r w:rsidDel="00000000" w:rsidR="00000000" w:rsidRPr="00000000">
        <w:rPr>
          <w:color w:val="222222"/>
          <w:sz w:val="28"/>
          <w:szCs w:val="28"/>
          <w:rtl w:val="0"/>
        </w:rPr>
        <w:t xml:space="preserve">: At any point in time, we always have access to the current and previous version of the prepayment model. On the data front, this means that we have parallel CDUs, stored data, and data processing. </w:t>
      </w:r>
    </w:p>
    <w:p w:rsidR="00000000" w:rsidDel="00000000" w:rsidP="00000000" w:rsidRDefault="00000000" w:rsidRPr="00000000" w14:paraId="00000004">
      <w:pPr>
        <w:numPr>
          <w:ilvl w:val="0"/>
          <w:numId w:val="1"/>
        </w:numPr>
        <w:ind w:left="720" w:hanging="360"/>
        <w:rPr>
          <w:b w:val="1"/>
          <w:color w:val="222222"/>
          <w:sz w:val="28"/>
          <w:szCs w:val="28"/>
        </w:rPr>
      </w:pPr>
      <w:r w:rsidDel="00000000" w:rsidR="00000000" w:rsidRPr="00000000">
        <w:rPr>
          <w:b w:val="1"/>
          <w:color w:val="222222"/>
          <w:sz w:val="28"/>
          <w:szCs w:val="28"/>
          <w:rtl w:val="0"/>
        </w:rPr>
        <w:t xml:space="preserve">ScaleDB supports a Dev and Production environment: </w:t>
      </w:r>
      <w:r w:rsidDel="00000000" w:rsidR="00000000" w:rsidRPr="00000000">
        <w:rPr>
          <w:color w:val="222222"/>
          <w:sz w:val="28"/>
          <w:szCs w:val="28"/>
          <w:rtl w:val="0"/>
        </w:rPr>
        <w:t xml:space="preserve">This allows us to make changes to ScaleDB without impacting any applications that consume Scale data (Symphony, for example).</w:t>
      </w:r>
    </w:p>
    <w:p w:rsidR="00000000" w:rsidDel="00000000" w:rsidP="00000000" w:rsidRDefault="00000000" w:rsidRPr="00000000" w14:paraId="00000005">
      <w:pPr>
        <w:rPr>
          <w:color w:val="222222"/>
          <w:sz w:val="28"/>
          <w:szCs w:val="28"/>
        </w:rPr>
      </w:pPr>
      <w:r w:rsidDel="00000000" w:rsidR="00000000" w:rsidRPr="00000000">
        <w:rPr>
          <w:rtl w:val="0"/>
        </w:rPr>
      </w:r>
    </w:p>
    <w:p w:rsidR="00000000" w:rsidDel="00000000" w:rsidP="00000000" w:rsidRDefault="00000000" w:rsidRPr="00000000" w14:paraId="00000006">
      <w:pPr>
        <w:rPr>
          <w:color w:val="222222"/>
          <w:sz w:val="28"/>
          <w:szCs w:val="28"/>
        </w:rPr>
      </w:pPr>
      <w:r w:rsidDel="00000000" w:rsidR="00000000" w:rsidRPr="00000000">
        <w:rPr>
          <w:color w:val="222222"/>
          <w:sz w:val="28"/>
          <w:szCs w:val="28"/>
          <w:rtl w:val="0"/>
        </w:rPr>
        <w:t xml:space="preserve">In principle,  think my initial take is that it doesn't make sense to try to support providing these capabilities through versioning various columns. Essentially, I think it'll create a huge amount of ancillary information to manage because, upon further thought, virtually everything we store in ScaleDB could be versioned.</w:t>
      </w:r>
    </w:p>
    <w:p w:rsidR="00000000" w:rsidDel="00000000" w:rsidP="00000000" w:rsidRDefault="00000000" w:rsidRPr="00000000" w14:paraId="00000007">
      <w:pPr>
        <w:rPr>
          <w:color w:val="222222"/>
          <w:sz w:val="28"/>
          <w:szCs w:val="28"/>
        </w:rPr>
      </w:pPr>
      <w:r w:rsidDel="00000000" w:rsidR="00000000" w:rsidRPr="00000000">
        <w:rPr>
          <w:rtl w:val="0"/>
        </w:rPr>
      </w:r>
    </w:p>
    <w:p w:rsidR="00000000" w:rsidDel="00000000" w:rsidP="00000000" w:rsidRDefault="00000000" w:rsidRPr="00000000" w14:paraId="00000008">
      <w:pPr>
        <w:rPr>
          <w:color w:val="222222"/>
          <w:sz w:val="28"/>
          <w:szCs w:val="28"/>
        </w:rPr>
      </w:pPr>
      <w:r w:rsidDel="00000000" w:rsidR="00000000" w:rsidRPr="00000000">
        <w:rPr>
          <w:color w:val="222222"/>
          <w:sz w:val="28"/>
          <w:szCs w:val="28"/>
          <w:rtl w:val="0"/>
        </w:rPr>
        <w:t xml:space="preserve">If we restrict versioning to just 3-5 items then I think the issue is relatively straightforward. Initially, I thought this might be do-able -- version Incentive, Burnout, RefiEligibility and maybe a couple of other things. But, this is far from being enough because of the gaps in the availability of loan-level data for GNMA, FHLMC and FNMA and the issues with trying to stitch together loan- and pool-level data. So, for example, on the FNMA side, we would also have to version OrigPMI, LLPA, and pct_TPO, among other fields. For GNMAs, versioning would include WALA, FICO, CLTV, pct_REFI etc. </w:t>
      </w:r>
    </w:p>
    <w:p w:rsidR="00000000" w:rsidDel="00000000" w:rsidP="00000000" w:rsidRDefault="00000000" w:rsidRPr="00000000" w14:paraId="00000009">
      <w:pPr>
        <w:rPr>
          <w:color w:val="222222"/>
          <w:sz w:val="28"/>
          <w:szCs w:val="28"/>
        </w:rPr>
      </w:pPr>
      <w:r w:rsidDel="00000000" w:rsidR="00000000" w:rsidRPr="00000000">
        <w:rPr>
          <w:rtl w:val="0"/>
        </w:rPr>
      </w:r>
    </w:p>
    <w:p w:rsidR="00000000" w:rsidDel="00000000" w:rsidP="00000000" w:rsidRDefault="00000000" w:rsidRPr="00000000" w14:paraId="0000000A">
      <w:pPr>
        <w:rPr>
          <w:color w:val="222222"/>
          <w:sz w:val="28"/>
          <w:szCs w:val="28"/>
        </w:rPr>
      </w:pPr>
      <w:r w:rsidDel="00000000" w:rsidR="00000000" w:rsidRPr="00000000">
        <w:rPr>
          <w:color w:val="222222"/>
          <w:sz w:val="28"/>
          <w:szCs w:val="28"/>
          <w:rtl w:val="0"/>
        </w:rPr>
        <w:t xml:space="preserve">For us, as we go through various iterations of backfilling data using new algorithms and developing new variables, it'll become a huge endeavor to maintain all these different versions.It seems a lot cleaner to maintain two different instances of the database: dev and production.   </w:t>
      </w:r>
    </w:p>
    <w:p w:rsidR="00000000" w:rsidDel="00000000" w:rsidP="00000000" w:rsidRDefault="00000000" w:rsidRPr="00000000" w14:paraId="0000000B">
      <w:pPr>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