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ScaleDB Testing and Validation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ScaleDB should be considered to be a production database and consequently we should have the same bar to making changes to it that we would have for any mission-critical database. Specifically, we should have a notion of a ScaleDB release if we decide to change any aspect of the database in terms of schema changes, adding/dropping columns, revising the calculation associated with a column etc. (Changes to ScaleDB because of monthly factor process are a separate issue and need to be analysed separately).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40" w:hanging="360"/>
        <w:rPr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Any planned changes should be circulated in advance so that there is a sense for what is being worked on.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40" w:hanging="360"/>
        <w:rPr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There should be a QA environment -- it is too expensive to maintain a dev database right now but we can maintain dev tables -- these would correspond to the tables that are being changed.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40" w:hanging="360"/>
        <w:rPr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There should be a release date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40" w:hanging="360"/>
        <w:rPr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Release notes should be circulated to the Research team and Antoine/Chun-nip upon successful completion of a release.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40" w:hanging="360"/>
        <w:rPr>
          <w:sz w:val="24"/>
          <w:szCs w:val="24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Over time, we should build a test suite that checks that these changes have the expected results. (What these tests should be and how to create them is a separate thread.)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Testing the Impact of Planned Changes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We create a reference collection of pools list based on Spec Pool tickers (Spec Pool is a little bit of a misnomer in this context since the tickers also include Generics by vintage year and coupon). In principle, this should give us a good coverage of the entire pool database and allow us to thoroughly vet the impact of any planned changes.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The algorithm used to construct the list of pools from FHLMC, GNMA, and FHLMC 30-years is as follows: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Get a complete spec pool cohort list (for example, for FHL, a total of 703 cohorts)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Filter the cohorts by their current balance (as of 2017-02-01) no less than 1bb; (194 cohorts)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Based on the cohort-pool mapping relations, we can build a complete pool list that backing the 194 cohorts;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(182K pools)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For each cohort, we get 5 sample pools with the largest balance (970 pools)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color w:val="222222"/>
          <w:sz w:val="24"/>
          <w:szCs w:val="24"/>
          <w:highlight w:val="white"/>
          <w:rtl w:val="0"/>
        </w:rPr>
        <w:t xml:space="preserve">Out of the 970 sample pools, there are 782 distinct issueIds. This is because in some cases, the same pool occurs in different spec pools. For example, a pool with issueId 1381781 satisfies the condition for both FHL30.550.03(GEN) and FHL30.550.03(ABOVE175K) at the same time. In that case, we will only keep one distinct pool issueId.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222222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22222"/>
        <w:sz w:val="19"/>
        <w:szCs w:val="19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