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2F0C" w:rsidRPr="00BA5ECF" w:rsidRDefault="00C12F0C" w:rsidP="00C12F0C">
      <w:pPr>
        <w:rPr>
          <w:sz w:val="22"/>
          <w:szCs w:val="22"/>
        </w:rPr>
      </w:pPr>
      <w:bookmarkStart w:id="0" w:name="_GoBack"/>
      <w:r w:rsidRPr="00BA5ECF">
        <w:rPr>
          <w:sz w:val="22"/>
          <w:szCs w:val="22"/>
        </w:rPr>
        <w:t xml:space="preserve">Lead in development, calibration of credit &amp; prepayment models for security trading / hedging and risk management of Freddie Mac’s $2.1 trillion </w:t>
      </w:r>
      <w:proofErr w:type="spellStart"/>
      <w:r w:rsidRPr="00BA5ECF">
        <w:rPr>
          <w:sz w:val="22"/>
          <w:szCs w:val="22"/>
        </w:rPr>
        <w:t>guranteed</w:t>
      </w:r>
      <w:proofErr w:type="spellEnd"/>
      <w:r w:rsidRPr="00BA5ECF">
        <w:rPr>
          <w:sz w:val="22"/>
          <w:szCs w:val="22"/>
        </w:rPr>
        <w:t xml:space="preserve"> &amp; $700 billion retained portfolio; </w:t>
      </w:r>
      <w:r w:rsidRPr="00BA5ECF">
        <w:rPr>
          <w:sz w:val="22"/>
          <w:szCs w:val="22"/>
        </w:rPr>
        <w:br/>
      </w:r>
      <w:r w:rsidRPr="00BA5ECF">
        <w:rPr>
          <w:sz w:val="22"/>
          <w:szCs w:val="22"/>
        </w:rPr>
        <w:br/>
        <w:t>Lead the analysis of risk metrics (duration, convexity, OAS-option adjusted spread, etc.) MBS pools -agency fixed, hybrids ARMs, and non-agency private label securities, CMOs;</w:t>
      </w:r>
      <w:r w:rsidRPr="00BA5ECF">
        <w:rPr>
          <w:sz w:val="22"/>
          <w:szCs w:val="22"/>
        </w:rPr>
        <w:br/>
      </w:r>
      <w:r w:rsidRPr="00BA5ECF">
        <w:rPr>
          <w:sz w:val="22"/>
          <w:szCs w:val="22"/>
        </w:rPr>
        <w:br/>
        <w:t>Lead projects on development of SAS valuation tool for Mortgage</w:t>
      </w:r>
      <w:r w:rsidR="00786212" w:rsidRPr="00BA5ECF">
        <w:rPr>
          <w:sz w:val="22"/>
          <w:szCs w:val="22"/>
        </w:rPr>
        <w:t xml:space="preserve"> </w:t>
      </w:r>
      <w:proofErr w:type="spellStart"/>
      <w:r w:rsidRPr="00BA5ECF">
        <w:rPr>
          <w:sz w:val="22"/>
          <w:szCs w:val="22"/>
        </w:rPr>
        <w:t>Pricer</w:t>
      </w:r>
      <w:proofErr w:type="spellEnd"/>
      <w:r w:rsidRPr="00BA5ECF">
        <w:rPr>
          <w:sz w:val="22"/>
          <w:szCs w:val="22"/>
        </w:rPr>
        <w:t>; Mentor traders on prepayment</w:t>
      </w:r>
      <w:r w:rsidR="00786212" w:rsidRPr="00BA5ECF">
        <w:rPr>
          <w:sz w:val="22"/>
          <w:szCs w:val="22"/>
        </w:rPr>
        <w:t xml:space="preserve"> </w:t>
      </w:r>
      <w:r w:rsidRPr="00BA5ECF">
        <w:rPr>
          <w:sz w:val="22"/>
          <w:szCs w:val="22"/>
        </w:rPr>
        <w:t>model;</w:t>
      </w:r>
      <w:r w:rsidRPr="00BA5ECF">
        <w:rPr>
          <w:sz w:val="22"/>
          <w:szCs w:val="22"/>
        </w:rPr>
        <w:br/>
      </w:r>
      <w:r w:rsidRPr="00BA5ECF">
        <w:rPr>
          <w:sz w:val="22"/>
          <w:szCs w:val="22"/>
        </w:rPr>
        <w:br/>
        <w:t>Participate in the prepayment design and implementation of loan-level default models to support mortgage securitization and loan modification program;</w:t>
      </w:r>
      <w:r w:rsidRPr="00BA5ECF">
        <w:rPr>
          <w:sz w:val="22"/>
          <w:szCs w:val="22"/>
        </w:rPr>
        <w:br/>
      </w:r>
      <w:r w:rsidRPr="00BA5ECF">
        <w:rPr>
          <w:sz w:val="22"/>
          <w:szCs w:val="22"/>
        </w:rPr>
        <w:br/>
        <w:t>Work with regulatory oversight groups and model users to ensure proper model estimation, implementation, monitoring; </w:t>
      </w:r>
      <w:r w:rsidRPr="00BA5ECF">
        <w:rPr>
          <w:sz w:val="22"/>
          <w:szCs w:val="22"/>
        </w:rPr>
        <w:br/>
      </w:r>
      <w:r w:rsidRPr="00BA5ECF">
        <w:rPr>
          <w:sz w:val="22"/>
          <w:szCs w:val="22"/>
        </w:rPr>
        <w:br/>
        <w:t>Utilize proprietary fixed-income analytical tool Workbench (</w:t>
      </w:r>
      <w:proofErr w:type="spellStart"/>
      <w:r w:rsidRPr="00BA5ECF">
        <w:rPr>
          <w:sz w:val="22"/>
          <w:szCs w:val="22"/>
        </w:rPr>
        <w:t>MortgagePricer</w:t>
      </w:r>
      <w:proofErr w:type="spellEnd"/>
      <w:r w:rsidRPr="00BA5ECF">
        <w:rPr>
          <w:sz w:val="22"/>
          <w:szCs w:val="22"/>
        </w:rPr>
        <w:t xml:space="preserve">, </w:t>
      </w:r>
      <w:proofErr w:type="spellStart"/>
      <w:r w:rsidRPr="00BA5ECF">
        <w:rPr>
          <w:sz w:val="22"/>
          <w:szCs w:val="22"/>
        </w:rPr>
        <w:t>ScenarioAnalysis</w:t>
      </w:r>
      <w:proofErr w:type="spellEnd"/>
      <w:r w:rsidRPr="00BA5ECF">
        <w:rPr>
          <w:sz w:val="22"/>
          <w:szCs w:val="22"/>
        </w:rPr>
        <w:t xml:space="preserve">, </w:t>
      </w:r>
      <w:proofErr w:type="spellStart"/>
      <w:r w:rsidRPr="00BA5ECF">
        <w:rPr>
          <w:sz w:val="22"/>
          <w:szCs w:val="22"/>
        </w:rPr>
        <w:t>ect</w:t>
      </w:r>
      <w:proofErr w:type="spellEnd"/>
      <w:r w:rsidRPr="00BA5ECF">
        <w:rPr>
          <w:sz w:val="22"/>
          <w:szCs w:val="22"/>
        </w:rPr>
        <w:t>.) to access cash flows, security / portfolio pricing, hedge risks, sensitivity &amp; scenario analysis;</w:t>
      </w:r>
      <w:r w:rsidRPr="00BA5ECF">
        <w:rPr>
          <w:sz w:val="22"/>
          <w:szCs w:val="22"/>
        </w:rPr>
        <w:br/>
      </w:r>
      <w:r w:rsidRPr="00BA5ECF">
        <w:rPr>
          <w:sz w:val="22"/>
          <w:szCs w:val="22"/>
        </w:rPr>
        <w:br/>
        <w:t>Serve as modeling expert (logistic regression, piece-wise linear model, time-varying coefficient model, time series, GARCH/ARCH/ARIMA models, nonlinear regression, smoothing, nonparametric/semi-parametric models); </w:t>
      </w:r>
    </w:p>
    <w:p w:rsidR="00C12F0C" w:rsidRPr="00BA5ECF" w:rsidRDefault="00C12F0C" w:rsidP="00C12F0C">
      <w:pPr>
        <w:rPr>
          <w:sz w:val="22"/>
          <w:szCs w:val="22"/>
        </w:rPr>
      </w:pPr>
    </w:p>
    <w:p w:rsidR="00C12F0C" w:rsidRPr="00BA5ECF" w:rsidRDefault="00C12F0C" w:rsidP="00C12F0C">
      <w:pPr>
        <w:rPr>
          <w:sz w:val="22"/>
          <w:szCs w:val="22"/>
        </w:rPr>
      </w:pPr>
      <w:r w:rsidRPr="00BA5ECF">
        <w:rPr>
          <w:sz w:val="22"/>
          <w:szCs w:val="22"/>
        </w:rPr>
        <w:t>============================================</w:t>
      </w:r>
    </w:p>
    <w:p w:rsidR="00C12F0C" w:rsidRPr="00BA5ECF" w:rsidRDefault="00C12F0C" w:rsidP="00C12F0C">
      <w:pPr>
        <w:rPr>
          <w:sz w:val="22"/>
          <w:szCs w:val="22"/>
        </w:rPr>
      </w:pPr>
    </w:p>
    <w:p w:rsidR="00C12F0C" w:rsidRPr="00BA5ECF" w:rsidRDefault="00C12F0C" w:rsidP="00C12F0C">
      <w:pPr>
        <w:rPr>
          <w:sz w:val="22"/>
          <w:szCs w:val="22"/>
        </w:rPr>
      </w:pPr>
      <w:proofErr w:type="gramStart"/>
      <w:r w:rsidRPr="00BA5ECF">
        <w:rPr>
          <w:sz w:val="22"/>
          <w:szCs w:val="22"/>
        </w:rPr>
        <w:t>Developed agency and non-agency prepayment and default risk models.</w:t>
      </w:r>
      <w:proofErr w:type="gramEnd"/>
      <w:r w:rsidRPr="00BA5ECF">
        <w:rPr>
          <w:sz w:val="22"/>
          <w:szCs w:val="22"/>
        </w:rPr>
        <w:t xml:space="preserve"> </w:t>
      </w:r>
    </w:p>
    <w:p w:rsidR="00C12F0C" w:rsidRPr="00BA5ECF" w:rsidRDefault="00C12F0C" w:rsidP="00C12F0C">
      <w:pPr>
        <w:rPr>
          <w:sz w:val="22"/>
          <w:szCs w:val="22"/>
        </w:rPr>
      </w:pPr>
      <w:r w:rsidRPr="00BA5ECF">
        <w:rPr>
          <w:sz w:val="22"/>
          <w:szCs w:val="22"/>
        </w:rPr>
        <w:t xml:space="preserve">Provided various analytic </w:t>
      </w:r>
      <w:proofErr w:type="gramStart"/>
      <w:r w:rsidRPr="00BA5ECF">
        <w:rPr>
          <w:sz w:val="22"/>
          <w:szCs w:val="22"/>
        </w:rPr>
        <w:t>support</w:t>
      </w:r>
      <w:proofErr w:type="gramEnd"/>
      <w:r w:rsidRPr="00BA5ECF">
        <w:rPr>
          <w:sz w:val="22"/>
          <w:szCs w:val="22"/>
        </w:rPr>
        <w:t xml:space="preserve"> to trading activities and risk management.</w:t>
      </w:r>
    </w:p>
    <w:p w:rsidR="00C12F0C" w:rsidRPr="00BA5ECF" w:rsidRDefault="00C12F0C" w:rsidP="00C12F0C">
      <w:pPr>
        <w:rPr>
          <w:sz w:val="22"/>
          <w:szCs w:val="22"/>
        </w:rPr>
      </w:pPr>
    </w:p>
    <w:p w:rsidR="00C12F0C" w:rsidRPr="00BA5ECF" w:rsidRDefault="00C12F0C" w:rsidP="00C12F0C">
      <w:pPr>
        <w:rPr>
          <w:sz w:val="22"/>
          <w:szCs w:val="22"/>
        </w:rPr>
      </w:pPr>
      <w:r w:rsidRPr="00BA5ECF">
        <w:rPr>
          <w:sz w:val="22"/>
          <w:szCs w:val="22"/>
        </w:rPr>
        <w:t>Maintained and improved the existed in-house prepayment models. </w:t>
      </w:r>
      <w:r w:rsidRPr="00BA5ECF">
        <w:rPr>
          <w:sz w:val="22"/>
          <w:szCs w:val="22"/>
        </w:rPr>
        <w:br/>
        <w:t>Designed, implemented, calibrated and tested new prepayment models.</w:t>
      </w:r>
      <w:r w:rsidRPr="00BA5ECF">
        <w:rPr>
          <w:sz w:val="22"/>
          <w:szCs w:val="22"/>
        </w:rPr>
        <w:br/>
        <w:t>Experience in building large-scale distributed MBS pricing systems.</w:t>
      </w:r>
    </w:p>
    <w:p w:rsidR="00C12F0C" w:rsidRPr="00BA5ECF" w:rsidRDefault="00C12F0C" w:rsidP="00C12F0C">
      <w:pPr>
        <w:rPr>
          <w:sz w:val="22"/>
          <w:szCs w:val="22"/>
        </w:rPr>
      </w:pPr>
    </w:p>
    <w:p w:rsidR="00C12F0C" w:rsidRPr="00BA5ECF" w:rsidRDefault="00C12F0C" w:rsidP="00C12F0C">
      <w:pPr>
        <w:rPr>
          <w:sz w:val="22"/>
          <w:szCs w:val="22"/>
        </w:rPr>
      </w:pPr>
    </w:p>
    <w:p w:rsidR="00C12F0C" w:rsidRPr="00BA5ECF" w:rsidRDefault="00C12F0C" w:rsidP="00C12F0C">
      <w:pPr>
        <w:rPr>
          <w:sz w:val="22"/>
          <w:szCs w:val="22"/>
        </w:rPr>
      </w:pPr>
      <w:r w:rsidRPr="00BA5ECF">
        <w:rPr>
          <w:sz w:val="22"/>
          <w:szCs w:val="22"/>
        </w:rPr>
        <w:t>• Lead Citi’s nonconforming RMBS model development for UK. Design, implement, and calibrate</w:t>
      </w:r>
      <w:r w:rsidR="00786212" w:rsidRPr="00BA5ECF">
        <w:rPr>
          <w:sz w:val="22"/>
          <w:szCs w:val="22"/>
        </w:rPr>
        <w:t xml:space="preserve"> </w:t>
      </w:r>
      <w:r w:rsidRPr="00BA5ECF">
        <w:rPr>
          <w:sz w:val="22"/>
          <w:szCs w:val="22"/>
        </w:rPr>
        <w:t>prepayment, default, and loss-severity models with great projection performance</w:t>
      </w:r>
      <w:r w:rsidRPr="00BA5ECF">
        <w:rPr>
          <w:sz w:val="22"/>
          <w:szCs w:val="22"/>
        </w:rPr>
        <w:br/>
        <w:t>• Key contributor to next-generation production prepayment modeling framework, helping architect program layers, define responsibility boundaries of classes, and implement key functionalities</w:t>
      </w:r>
      <w:r w:rsidRPr="00BA5ECF">
        <w:rPr>
          <w:sz w:val="22"/>
          <w:szCs w:val="22"/>
        </w:rPr>
        <w:br/>
        <w:t>• In depth knowledge of loan-level data and understanding of remit reports</w:t>
      </w:r>
      <w:r w:rsidRPr="00BA5ECF">
        <w:rPr>
          <w:sz w:val="22"/>
          <w:szCs w:val="22"/>
        </w:rPr>
        <w:br/>
      </w:r>
    </w:p>
    <w:p w:rsidR="00C12F0C" w:rsidRPr="00BA5ECF" w:rsidRDefault="00C12F0C" w:rsidP="00C12F0C">
      <w:pPr>
        <w:rPr>
          <w:sz w:val="22"/>
          <w:szCs w:val="22"/>
        </w:rPr>
      </w:pPr>
    </w:p>
    <w:p w:rsidR="00C12F0C" w:rsidRPr="00BA5ECF" w:rsidRDefault="00C12F0C" w:rsidP="00C12F0C">
      <w:pPr>
        <w:rPr>
          <w:sz w:val="22"/>
          <w:szCs w:val="22"/>
        </w:rPr>
      </w:pPr>
      <w:r w:rsidRPr="00BA5ECF">
        <w:rPr>
          <w:sz w:val="22"/>
          <w:szCs w:val="22"/>
        </w:rPr>
        <w:t>• Key contributor to the Citi CMBS Weekly, CMBX Monthly, Global Securitized Product Monthly, and other publications, focusing on bond relative value, collateral performance, and best positioning strategy</w:t>
      </w:r>
      <w:r w:rsidRPr="00BA5ECF">
        <w:rPr>
          <w:sz w:val="22"/>
          <w:szCs w:val="22"/>
        </w:rPr>
        <w:br/>
        <w:t>• Designed rule-based Citi’s private-label IG CMBS total return index and agency CMBS total return index; Maintain model portfolio to reflect our sector recommendation (2013 cumulative return of 4.7%)</w:t>
      </w:r>
      <w:r w:rsidRPr="00BA5ECF">
        <w:rPr>
          <w:sz w:val="22"/>
          <w:szCs w:val="22"/>
        </w:rPr>
        <w:br/>
        <w:t xml:space="preserve">• Build Citi’s CMBS Daily Surveillance system that incorporates </w:t>
      </w:r>
      <w:proofErr w:type="spellStart"/>
      <w:r w:rsidRPr="00BA5ECF">
        <w:rPr>
          <w:sz w:val="22"/>
          <w:szCs w:val="22"/>
        </w:rPr>
        <w:t>Trepp</w:t>
      </w:r>
      <w:proofErr w:type="spellEnd"/>
      <w:r w:rsidRPr="00BA5ECF">
        <w:rPr>
          <w:sz w:val="22"/>
          <w:szCs w:val="22"/>
        </w:rPr>
        <w:t xml:space="preserve"> data feeds, Bloomberg Alert, news feeds, secondary trading flows, and new issuance activity to monitor latest market development, providing timely insides and trading recommendation to our clients and internal trading desk</w:t>
      </w:r>
      <w:r w:rsidRPr="00BA5ECF">
        <w:rPr>
          <w:sz w:val="22"/>
          <w:szCs w:val="22"/>
        </w:rPr>
        <w:br/>
        <w:t>• Maintain, calibrate, and expand the capability of Citi’s CMBS prepayment and default model</w:t>
      </w:r>
      <w:r w:rsidRPr="00BA5ECF">
        <w:rPr>
          <w:sz w:val="22"/>
          <w:szCs w:val="22"/>
        </w:rPr>
        <w:br/>
        <w:t>• In depth knowledge of vendor data (</w:t>
      </w:r>
      <w:proofErr w:type="spellStart"/>
      <w:r w:rsidRPr="00BA5ECF">
        <w:rPr>
          <w:sz w:val="22"/>
          <w:szCs w:val="22"/>
        </w:rPr>
        <w:t>Trepp</w:t>
      </w:r>
      <w:proofErr w:type="spellEnd"/>
      <w:r w:rsidRPr="00BA5ECF">
        <w:rPr>
          <w:sz w:val="22"/>
          <w:szCs w:val="22"/>
        </w:rPr>
        <w:t>, REIS, STR) and understanding of remit reports</w:t>
      </w:r>
    </w:p>
    <w:p w:rsidR="00C12F0C" w:rsidRPr="00BA5ECF" w:rsidRDefault="00C12F0C" w:rsidP="00C12F0C">
      <w:pPr>
        <w:rPr>
          <w:sz w:val="22"/>
          <w:szCs w:val="22"/>
        </w:rPr>
      </w:pPr>
    </w:p>
    <w:p w:rsidR="00C12F0C" w:rsidRPr="00BA5ECF" w:rsidRDefault="00C12F0C" w:rsidP="00C12F0C">
      <w:pPr>
        <w:rPr>
          <w:sz w:val="22"/>
          <w:szCs w:val="22"/>
        </w:rPr>
      </w:pPr>
    </w:p>
    <w:p w:rsidR="00C12F0C" w:rsidRPr="00BA5ECF" w:rsidRDefault="00C12F0C" w:rsidP="00C12F0C">
      <w:pPr>
        <w:rPr>
          <w:sz w:val="22"/>
          <w:szCs w:val="22"/>
        </w:rPr>
      </w:pPr>
      <w:r w:rsidRPr="00BA5ECF">
        <w:rPr>
          <w:sz w:val="22"/>
          <w:szCs w:val="22"/>
        </w:rPr>
        <w:lastRenderedPageBreak/>
        <w:t>• Build prepayment and default projection models for student loans, auto loans, consumer loans, timeshare loans, and future flows </w:t>
      </w:r>
    </w:p>
    <w:p w:rsidR="00C12F0C" w:rsidRPr="00BA5ECF" w:rsidRDefault="00C12F0C" w:rsidP="00C12F0C">
      <w:pPr>
        <w:rPr>
          <w:sz w:val="22"/>
          <w:szCs w:val="22"/>
        </w:rPr>
      </w:pPr>
    </w:p>
    <w:p w:rsidR="00C12F0C" w:rsidRPr="00BA5ECF" w:rsidRDefault="00C12F0C" w:rsidP="00C12F0C">
      <w:pPr>
        <w:rPr>
          <w:sz w:val="22"/>
          <w:szCs w:val="22"/>
        </w:rPr>
      </w:pPr>
      <w:r w:rsidRPr="00BA5ECF">
        <w:rPr>
          <w:sz w:val="22"/>
          <w:szCs w:val="22"/>
        </w:rPr>
        <w:t>Analyzed mortgage backed securities based on collateral prepayment, default, and recovery assessment.</w:t>
      </w:r>
    </w:p>
    <w:p w:rsidR="00C12F0C" w:rsidRPr="00BA5ECF" w:rsidRDefault="00C12F0C" w:rsidP="00C12F0C">
      <w:pPr>
        <w:rPr>
          <w:sz w:val="22"/>
          <w:szCs w:val="22"/>
        </w:rPr>
      </w:pPr>
    </w:p>
    <w:p w:rsidR="00C12F0C" w:rsidRPr="00BA5ECF" w:rsidRDefault="00C12F0C" w:rsidP="00C12F0C">
      <w:pPr>
        <w:rPr>
          <w:sz w:val="22"/>
          <w:szCs w:val="22"/>
        </w:rPr>
      </w:pPr>
    </w:p>
    <w:p w:rsidR="00C12F0C" w:rsidRPr="00BA5ECF" w:rsidRDefault="00C12F0C" w:rsidP="00C12F0C">
      <w:pPr>
        <w:rPr>
          <w:sz w:val="22"/>
          <w:szCs w:val="22"/>
        </w:rPr>
      </w:pPr>
      <w:r w:rsidRPr="00BA5ECF">
        <w:rPr>
          <w:sz w:val="22"/>
          <w:szCs w:val="22"/>
        </w:rPr>
        <w:t> Analyzed a portfolio of MBS bonds by their capital structures and collateral information, including delinquency, current default rate, prepayment rate and Loan-to-Value;</w:t>
      </w:r>
      <w:r w:rsidRPr="00BA5ECF">
        <w:rPr>
          <w:sz w:val="22"/>
          <w:szCs w:val="22"/>
        </w:rPr>
        <w:br/>
        <w:t>o Calibrated default and prepayment models for non-agency prime and subprime adjustable-rate mortgages;</w:t>
      </w:r>
    </w:p>
    <w:p w:rsidR="00C12F0C" w:rsidRPr="00BA5ECF" w:rsidRDefault="00C12F0C" w:rsidP="00C12F0C">
      <w:pPr>
        <w:rPr>
          <w:sz w:val="22"/>
          <w:szCs w:val="22"/>
        </w:rPr>
      </w:pPr>
    </w:p>
    <w:p w:rsidR="00C12F0C" w:rsidRPr="00BA5ECF" w:rsidRDefault="00C12F0C" w:rsidP="00C12F0C">
      <w:pPr>
        <w:rPr>
          <w:sz w:val="22"/>
          <w:szCs w:val="22"/>
        </w:rPr>
      </w:pPr>
      <w:r w:rsidRPr="00BA5ECF">
        <w:rPr>
          <w:sz w:val="22"/>
          <w:szCs w:val="22"/>
        </w:rPr>
        <w:t>Maintain PD Cash flow models, loan level detail model &amp; concentration model to project the prepayment&amp; default rate and represent loan performance details from different perspectives</w:t>
      </w:r>
    </w:p>
    <w:p w:rsidR="00C12F0C" w:rsidRPr="00BA5ECF" w:rsidRDefault="00C12F0C" w:rsidP="00C12F0C">
      <w:pPr>
        <w:rPr>
          <w:sz w:val="22"/>
          <w:szCs w:val="22"/>
        </w:rPr>
      </w:pPr>
    </w:p>
    <w:p w:rsidR="00321756" w:rsidRPr="00BA5ECF" w:rsidRDefault="00321756" w:rsidP="00C12F0C">
      <w:pPr>
        <w:rPr>
          <w:sz w:val="22"/>
          <w:szCs w:val="22"/>
        </w:rPr>
      </w:pPr>
    </w:p>
    <w:p w:rsidR="00321756" w:rsidRPr="00BA5ECF" w:rsidRDefault="00321756" w:rsidP="00C12F0C">
      <w:pPr>
        <w:rPr>
          <w:sz w:val="22"/>
          <w:szCs w:val="22"/>
        </w:rPr>
      </w:pPr>
    </w:p>
    <w:p w:rsidR="00FC1E59" w:rsidRPr="00BA5ECF" w:rsidRDefault="00FC1E59" w:rsidP="00C12F0C">
      <w:pPr>
        <w:rPr>
          <w:sz w:val="22"/>
          <w:szCs w:val="22"/>
        </w:rPr>
      </w:pPr>
    </w:p>
    <w:p w:rsidR="00FC1E59" w:rsidRPr="00BA5ECF" w:rsidRDefault="00321756" w:rsidP="00C12F0C">
      <w:pPr>
        <w:rPr>
          <w:sz w:val="22"/>
          <w:szCs w:val="22"/>
        </w:rPr>
      </w:pPr>
      <w:r w:rsidRPr="00BA5ECF">
        <w:rPr>
          <w:sz w:val="22"/>
          <w:szCs w:val="22"/>
        </w:rPr>
        <w:t>Designed rule-based Citi’s private-label IG CMBS total return index and agency CMBS total return index; Maintain model portfolio to reflect our sector recommendation (2013 cumulative return of 4.7%)</w:t>
      </w:r>
      <w:r w:rsidRPr="00BA5ECF">
        <w:rPr>
          <w:sz w:val="22"/>
          <w:szCs w:val="22"/>
        </w:rPr>
        <w:br/>
      </w:r>
    </w:p>
    <w:p w:rsidR="00786212" w:rsidRPr="00BA5ECF" w:rsidRDefault="00786212" w:rsidP="00C12F0C">
      <w:pPr>
        <w:rPr>
          <w:sz w:val="22"/>
          <w:szCs w:val="22"/>
        </w:rPr>
      </w:pPr>
    </w:p>
    <w:p w:rsidR="00786212" w:rsidRPr="00BA5ECF" w:rsidRDefault="00786212" w:rsidP="00786212">
      <w:pPr>
        <w:rPr>
          <w:sz w:val="22"/>
          <w:szCs w:val="22"/>
        </w:rPr>
      </w:pPr>
      <w:proofErr w:type="gramStart"/>
      <w:r w:rsidRPr="00BA5ECF">
        <w:rPr>
          <w:sz w:val="22"/>
          <w:szCs w:val="22"/>
        </w:rPr>
        <w:t>Developed agency prepayment and default risk models.</w:t>
      </w:r>
      <w:proofErr w:type="gramEnd"/>
      <w:r w:rsidRPr="00BA5ECF">
        <w:rPr>
          <w:sz w:val="22"/>
          <w:szCs w:val="22"/>
        </w:rPr>
        <w:t xml:space="preserve"> </w:t>
      </w:r>
    </w:p>
    <w:p w:rsidR="00786212" w:rsidRPr="00BA5ECF" w:rsidRDefault="00786212" w:rsidP="00786212">
      <w:pPr>
        <w:rPr>
          <w:sz w:val="22"/>
          <w:szCs w:val="22"/>
        </w:rPr>
      </w:pPr>
      <w:r w:rsidRPr="00BA5ECF">
        <w:rPr>
          <w:sz w:val="22"/>
          <w:szCs w:val="22"/>
        </w:rPr>
        <w:t xml:space="preserve">Provided various analytic </w:t>
      </w:r>
      <w:proofErr w:type="gramStart"/>
      <w:r w:rsidRPr="00BA5ECF">
        <w:rPr>
          <w:sz w:val="22"/>
          <w:szCs w:val="22"/>
        </w:rPr>
        <w:t>support</w:t>
      </w:r>
      <w:proofErr w:type="gramEnd"/>
      <w:r w:rsidRPr="00BA5ECF">
        <w:rPr>
          <w:sz w:val="22"/>
          <w:szCs w:val="22"/>
        </w:rPr>
        <w:t xml:space="preserve"> to trading activities and risk management.</w:t>
      </w:r>
    </w:p>
    <w:p w:rsidR="00786212" w:rsidRPr="00BA5ECF" w:rsidRDefault="00786212" w:rsidP="00C12F0C">
      <w:pPr>
        <w:rPr>
          <w:sz w:val="22"/>
          <w:szCs w:val="22"/>
        </w:rPr>
      </w:pPr>
    </w:p>
    <w:p w:rsidR="0044330E" w:rsidRPr="00BA5ECF" w:rsidRDefault="0044330E" w:rsidP="0044330E">
      <w:pPr>
        <w:autoSpaceDE w:val="0"/>
        <w:autoSpaceDN w:val="0"/>
        <w:adjustRightInd w:val="0"/>
        <w:rPr>
          <w:rFonts w:ascii="Baskerville" w:eastAsiaTheme="minorEastAsia" w:hAnsi="Baskerville" w:cs="Baskerville"/>
          <w:sz w:val="22"/>
          <w:szCs w:val="22"/>
        </w:rPr>
      </w:pPr>
      <w:proofErr w:type="gramStart"/>
      <w:r w:rsidRPr="00BA5ECF">
        <w:rPr>
          <w:rFonts w:ascii="Baskerville" w:eastAsiaTheme="minorEastAsia" w:hAnsi="Baskerville" w:cs="Baskerville"/>
          <w:sz w:val="22"/>
          <w:szCs w:val="22"/>
        </w:rPr>
        <w:t>Worked with Prepayment Modeling team on designing new user</w:t>
      </w:r>
      <w:r w:rsidRPr="00BA5ECF">
        <w:rPr>
          <w:rFonts w:ascii="Baskerville" w:eastAsiaTheme="minorEastAsia" w:hAnsi="Baskerville" w:cs="Baskerville"/>
          <w:sz w:val="22"/>
          <w:szCs w:val="22"/>
        </w:rPr>
        <w:t xml:space="preserve"> interface to support new fixed-</w:t>
      </w:r>
      <w:r w:rsidRPr="00BA5ECF">
        <w:rPr>
          <w:rFonts w:ascii="Baskerville" w:eastAsiaTheme="minorEastAsia" w:hAnsi="Baskerville" w:cs="Baskerville"/>
          <w:sz w:val="22"/>
          <w:szCs w:val="22"/>
        </w:rPr>
        <w:t>rate and</w:t>
      </w:r>
      <w:r w:rsidRPr="00BA5ECF">
        <w:rPr>
          <w:rFonts w:ascii="Baskerville" w:eastAsiaTheme="minorEastAsia" w:hAnsi="Baskerville" w:cs="Baskerville"/>
          <w:sz w:val="22"/>
          <w:szCs w:val="22"/>
        </w:rPr>
        <w:t xml:space="preserve"> </w:t>
      </w:r>
      <w:r w:rsidRPr="00BA5ECF">
        <w:rPr>
          <w:rFonts w:ascii="Baskerville" w:eastAsiaTheme="minorEastAsia" w:hAnsi="Baskerville" w:cs="Baskerville"/>
          <w:sz w:val="22"/>
          <w:szCs w:val="22"/>
        </w:rPr>
        <w:t>hybrid ARM models as well as other new requirements.</w:t>
      </w:r>
      <w:proofErr w:type="gramEnd"/>
    </w:p>
    <w:p w:rsidR="0044330E" w:rsidRPr="00BA5ECF" w:rsidRDefault="0044330E" w:rsidP="0044330E">
      <w:pPr>
        <w:rPr>
          <w:rFonts w:ascii="Baskerville" w:eastAsiaTheme="minorEastAsia" w:hAnsi="Baskerville" w:cs="Baskerville"/>
          <w:sz w:val="22"/>
          <w:szCs w:val="22"/>
        </w:rPr>
      </w:pPr>
    </w:p>
    <w:p w:rsidR="0044330E" w:rsidRPr="00BA5ECF" w:rsidRDefault="0044330E" w:rsidP="0044330E">
      <w:pPr>
        <w:autoSpaceDE w:val="0"/>
        <w:autoSpaceDN w:val="0"/>
        <w:adjustRightInd w:val="0"/>
        <w:rPr>
          <w:rFonts w:ascii="Baskerville" w:eastAsiaTheme="minorEastAsia" w:hAnsi="Baskerville" w:cs="Baskerville"/>
          <w:sz w:val="22"/>
          <w:szCs w:val="22"/>
        </w:rPr>
      </w:pPr>
      <w:r w:rsidRPr="00BA5ECF">
        <w:rPr>
          <w:rFonts w:ascii="Baskerville" w:eastAsiaTheme="minorEastAsia" w:hAnsi="Baskerville" w:cs="Baskerville"/>
          <w:sz w:val="22"/>
          <w:szCs w:val="22"/>
        </w:rPr>
        <w:t xml:space="preserve">Ran analytics on Securitized Products using various interest rate scenarios and prepayment model </w:t>
      </w:r>
      <w:r w:rsidRPr="00BA5ECF">
        <w:rPr>
          <w:rFonts w:ascii="Baskerville" w:eastAsiaTheme="minorEastAsia" w:hAnsi="Baskerville" w:cs="Baskerville"/>
          <w:sz w:val="22"/>
          <w:szCs w:val="22"/>
        </w:rPr>
        <w:t xml:space="preserve">parameters to </w:t>
      </w:r>
      <w:r w:rsidRPr="00BA5ECF">
        <w:rPr>
          <w:rFonts w:ascii="Baskerville" w:eastAsiaTheme="minorEastAsia" w:hAnsi="Baskerville" w:cs="Baskerville"/>
          <w:sz w:val="22"/>
          <w:szCs w:val="22"/>
        </w:rPr>
        <w:t>ensure prepayment projections and all valuations are consistent with the model expectations.</w:t>
      </w:r>
    </w:p>
    <w:p w:rsidR="00C51B17" w:rsidRPr="00BA5ECF" w:rsidRDefault="00C51B17" w:rsidP="0044330E">
      <w:pPr>
        <w:autoSpaceDE w:val="0"/>
        <w:autoSpaceDN w:val="0"/>
        <w:adjustRightInd w:val="0"/>
        <w:rPr>
          <w:rFonts w:ascii="Baskerville" w:eastAsiaTheme="minorEastAsia" w:hAnsi="Baskerville" w:cs="Baskerville"/>
          <w:sz w:val="22"/>
          <w:szCs w:val="22"/>
        </w:rPr>
      </w:pPr>
    </w:p>
    <w:p w:rsidR="00C51B17" w:rsidRPr="00BA5ECF" w:rsidRDefault="00C51B17" w:rsidP="0044330E">
      <w:pPr>
        <w:autoSpaceDE w:val="0"/>
        <w:autoSpaceDN w:val="0"/>
        <w:adjustRightInd w:val="0"/>
        <w:rPr>
          <w:rFonts w:ascii="Baskerville" w:eastAsiaTheme="minorEastAsia" w:hAnsi="Baskerville" w:cs="Baskerville"/>
          <w:sz w:val="22"/>
          <w:szCs w:val="22"/>
        </w:rPr>
      </w:pPr>
      <w:r w:rsidRPr="00BA5ECF">
        <w:rPr>
          <w:rFonts w:ascii="Baskerville" w:eastAsiaTheme="minorEastAsia" w:hAnsi="Baskerville" w:cs="Baskerville"/>
          <w:sz w:val="22"/>
          <w:szCs w:val="22"/>
        </w:rPr>
        <w:t xml:space="preserve">Designed </w:t>
      </w:r>
    </w:p>
    <w:p w:rsidR="00C51B17" w:rsidRPr="00BA5ECF" w:rsidRDefault="00C51B17" w:rsidP="0044330E">
      <w:pPr>
        <w:autoSpaceDE w:val="0"/>
        <w:autoSpaceDN w:val="0"/>
        <w:adjustRightInd w:val="0"/>
        <w:rPr>
          <w:rFonts w:ascii="Baskerville" w:eastAsiaTheme="minorEastAsia" w:hAnsi="Baskerville" w:cs="Baskerville"/>
          <w:sz w:val="22"/>
          <w:szCs w:val="22"/>
        </w:rPr>
      </w:pPr>
    </w:p>
    <w:p w:rsidR="00C51B17" w:rsidRPr="00BA5ECF" w:rsidRDefault="00C51B17" w:rsidP="0044330E">
      <w:pPr>
        <w:autoSpaceDE w:val="0"/>
        <w:autoSpaceDN w:val="0"/>
        <w:adjustRightInd w:val="0"/>
        <w:rPr>
          <w:rFonts w:ascii="Baskerville" w:eastAsiaTheme="minorEastAsia" w:hAnsi="Baskerville" w:cs="Baskerville"/>
          <w:sz w:val="22"/>
          <w:szCs w:val="22"/>
        </w:rPr>
      </w:pPr>
    </w:p>
    <w:p w:rsidR="00C51B17" w:rsidRDefault="00C51B17" w:rsidP="0044330E">
      <w:pPr>
        <w:autoSpaceDE w:val="0"/>
        <w:autoSpaceDN w:val="0"/>
        <w:adjustRightInd w:val="0"/>
        <w:rPr>
          <w:sz w:val="22"/>
          <w:szCs w:val="22"/>
        </w:rPr>
      </w:pPr>
      <w:r w:rsidRPr="00BA5ECF">
        <w:rPr>
          <w:sz w:val="22"/>
          <w:szCs w:val="22"/>
        </w:rPr>
        <w:t>Build </w:t>
      </w:r>
      <w:r w:rsidRPr="00BA5ECF">
        <w:rPr>
          <w:sz w:val="22"/>
          <w:szCs w:val="22"/>
        </w:rPr>
        <w:t>P</w:t>
      </w:r>
      <w:r w:rsidRPr="00BA5ECF">
        <w:rPr>
          <w:sz w:val="22"/>
          <w:szCs w:val="22"/>
        </w:rPr>
        <w:t>repayment</w:t>
      </w:r>
      <w:r w:rsidRPr="00BA5ECF">
        <w:rPr>
          <w:sz w:val="22"/>
          <w:szCs w:val="22"/>
        </w:rPr>
        <w:t> and D</w:t>
      </w:r>
      <w:r w:rsidRPr="00BA5ECF">
        <w:rPr>
          <w:sz w:val="22"/>
          <w:szCs w:val="22"/>
        </w:rPr>
        <w:t>efault projection models</w:t>
      </w:r>
      <w:r w:rsidR="00BA5ECF" w:rsidRPr="00BA5ECF">
        <w:rPr>
          <w:sz w:val="22"/>
          <w:szCs w:val="22"/>
        </w:rPr>
        <w:t xml:space="preserve"> for agency mortgage back securities. </w:t>
      </w:r>
    </w:p>
    <w:p w:rsidR="00A76341" w:rsidRDefault="00A76341" w:rsidP="0044330E">
      <w:pPr>
        <w:autoSpaceDE w:val="0"/>
        <w:autoSpaceDN w:val="0"/>
        <w:adjustRightInd w:val="0"/>
        <w:rPr>
          <w:sz w:val="22"/>
          <w:szCs w:val="22"/>
        </w:rPr>
      </w:pPr>
      <w:r>
        <w:rPr>
          <w:sz w:val="22"/>
          <w:szCs w:val="22"/>
        </w:rPr>
        <w:t>Building and maintaining models used to predict the behavior of MBS. Model is used by internal traders.</w:t>
      </w:r>
    </w:p>
    <w:p w:rsidR="00A76341" w:rsidRDefault="00A76341" w:rsidP="0044330E">
      <w:pPr>
        <w:autoSpaceDE w:val="0"/>
        <w:autoSpaceDN w:val="0"/>
        <w:adjustRightInd w:val="0"/>
        <w:rPr>
          <w:sz w:val="22"/>
          <w:szCs w:val="22"/>
        </w:rPr>
      </w:pPr>
    </w:p>
    <w:p w:rsidR="00EA6406" w:rsidRDefault="00EA6406" w:rsidP="0044330E">
      <w:pPr>
        <w:autoSpaceDE w:val="0"/>
        <w:autoSpaceDN w:val="0"/>
        <w:adjustRightInd w:val="0"/>
        <w:rPr>
          <w:sz w:val="22"/>
          <w:szCs w:val="22"/>
        </w:rPr>
      </w:pPr>
      <w:proofErr w:type="gramStart"/>
      <w:r>
        <w:rPr>
          <w:rFonts w:ascii="Arial" w:hAnsi="Arial" w:cs="Arial"/>
          <w:color w:val="333333"/>
          <w:sz w:val="20"/>
          <w:szCs w:val="20"/>
          <w:shd w:val="clear" w:color="auto" w:fill="FFFFFF"/>
        </w:rPr>
        <w:t>be</w:t>
      </w:r>
      <w:proofErr w:type="gramEnd"/>
      <w:r>
        <w:rPr>
          <w:rFonts w:ascii="Arial" w:hAnsi="Arial" w:cs="Arial"/>
          <w:color w:val="333333"/>
          <w:sz w:val="20"/>
          <w:szCs w:val="20"/>
          <w:shd w:val="clear" w:color="auto" w:fill="FFFFFF"/>
        </w:rPr>
        <w:t xml:space="preserve"> responsible for building and maintaining models used to predict the behavior of various Mortgage Backed and Asset Backed Securities.</w:t>
      </w:r>
    </w:p>
    <w:p w:rsidR="00EA6406" w:rsidRDefault="00EA6406" w:rsidP="0044330E">
      <w:pPr>
        <w:autoSpaceDE w:val="0"/>
        <w:autoSpaceDN w:val="0"/>
        <w:adjustRightInd w:val="0"/>
        <w:rPr>
          <w:sz w:val="22"/>
          <w:szCs w:val="22"/>
        </w:rPr>
      </w:pPr>
    </w:p>
    <w:p w:rsidR="00EA6406" w:rsidRDefault="00EA6406" w:rsidP="0044330E">
      <w:pPr>
        <w:autoSpaceDE w:val="0"/>
        <w:autoSpaceDN w:val="0"/>
        <w:adjustRightInd w:val="0"/>
        <w:rPr>
          <w:sz w:val="22"/>
          <w:szCs w:val="22"/>
        </w:rPr>
      </w:pPr>
    </w:p>
    <w:p w:rsidR="00E24592" w:rsidRPr="00A76341" w:rsidRDefault="00A76341" w:rsidP="0044330E">
      <w:pPr>
        <w:autoSpaceDE w:val="0"/>
        <w:autoSpaceDN w:val="0"/>
        <w:adjustRightInd w:val="0"/>
        <w:rPr>
          <w:sz w:val="22"/>
          <w:szCs w:val="22"/>
        </w:rPr>
      </w:pPr>
      <w:r>
        <w:rPr>
          <w:sz w:val="22"/>
          <w:szCs w:val="22"/>
        </w:rPr>
        <w:t xml:space="preserve">Design, estimate and develop mortgage </w:t>
      </w:r>
      <w:r>
        <w:rPr>
          <w:rStyle w:val="Strong"/>
          <w:rFonts w:ascii="Arial" w:hAnsi="Arial" w:cs="Arial"/>
          <w:color w:val="333333"/>
          <w:sz w:val="23"/>
          <w:szCs w:val="23"/>
          <w:shd w:val="clear" w:color="auto" w:fill="FFFFFF"/>
        </w:rPr>
        <w:t>prepayment/default models.</w:t>
      </w:r>
      <w:r>
        <w:rPr>
          <w:rStyle w:val="apple-converted-space"/>
          <w:rFonts w:ascii="Arial" w:hAnsi="Arial" w:cs="Arial"/>
          <w:b/>
          <w:bCs/>
          <w:color w:val="333333"/>
          <w:sz w:val="23"/>
          <w:szCs w:val="23"/>
          <w:shd w:val="clear" w:color="auto" w:fill="FFFFFF"/>
        </w:rPr>
        <w:t> </w:t>
      </w:r>
      <w:r>
        <w:rPr>
          <w:rStyle w:val="Strong"/>
          <w:rFonts w:ascii="Arial" w:hAnsi="Arial" w:cs="Arial"/>
          <w:color w:val="333333"/>
          <w:sz w:val="23"/>
          <w:szCs w:val="23"/>
          <w:shd w:val="clear" w:color="auto" w:fill="FFFFFF"/>
        </w:rPr>
        <w:t>Conduct relative value research. </w:t>
      </w:r>
      <w:r>
        <w:rPr>
          <w:rStyle w:val="apple-converted-space"/>
          <w:rFonts w:ascii="Arial" w:hAnsi="Arial" w:cs="Arial"/>
          <w:b/>
          <w:bCs/>
          <w:color w:val="333333"/>
          <w:sz w:val="23"/>
          <w:szCs w:val="23"/>
          <w:shd w:val="clear" w:color="auto" w:fill="FFFFFF"/>
        </w:rPr>
        <w:t> </w:t>
      </w:r>
      <w:r>
        <w:rPr>
          <w:rStyle w:val="Strong"/>
          <w:rFonts w:ascii="Arial" w:hAnsi="Arial" w:cs="Arial"/>
          <w:color w:val="333333"/>
          <w:sz w:val="23"/>
          <w:szCs w:val="23"/>
          <w:shd w:val="clear" w:color="auto" w:fill="FFFFFF"/>
        </w:rPr>
        <w:t>Communicate model assumptions, projections, performance, and valuation implications to internal and external clients.</w:t>
      </w:r>
      <w:r>
        <w:rPr>
          <w:sz w:val="22"/>
          <w:szCs w:val="22"/>
        </w:rPr>
        <w:t xml:space="preserve">  </w:t>
      </w:r>
      <w:bookmarkEnd w:id="0"/>
    </w:p>
    <w:sectPr w:rsidR="00E24592" w:rsidRPr="00A763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20002A87" w:usb1="00000000" w:usb2="00000000" w:usb3="00000000" w:csb0="000001FF" w:csb1="00000000"/>
  </w:font>
  <w:font w:name="Baskerville">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2F0C"/>
    <w:rsid w:val="00321756"/>
    <w:rsid w:val="0044330E"/>
    <w:rsid w:val="00786212"/>
    <w:rsid w:val="00801C5B"/>
    <w:rsid w:val="00807653"/>
    <w:rsid w:val="00A76341"/>
    <w:rsid w:val="00BA5ECF"/>
    <w:rsid w:val="00C12F0C"/>
    <w:rsid w:val="00C51B17"/>
    <w:rsid w:val="00E24592"/>
    <w:rsid w:val="00EA6406"/>
    <w:rsid w:val="00FC1E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330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ighlight">
    <w:name w:val="highlight"/>
    <w:basedOn w:val="DefaultParagraphFont"/>
    <w:rsid w:val="00C12F0C"/>
  </w:style>
  <w:style w:type="character" w:styleId="Strong">
    <w:name w:val="Strong"/>
    <w:basedOn w:val="DefaultParagraphFont"/>
    <w:uiPriority w:val="22"/>
    <w:qFormat/>
    <w:rsid w:val="00A76341"/>
    <w:rPr>
      <w:b/>
      <w:bCs/>
    </w:rPr>
  </w:style>
  <w:style w:type="character" w:customStyle="1" w:styleId="apple-converted-space">
    <w:name w:val="apple-converted-space"/>
    <w:basedOn w:val="DefaultParagraphFont"/>
    <w:rsid w:val="00A7634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330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ighlight">
    <w:name w:val="highlight"/>
    <w:basedOn w:val="DefaultParagraphFont"/>
    <w:rsid w:val="00C12F0C"/>
  </w:style>
  <w:style w:type="character" w:styleId="Strong">
    <w:name w:val="Strong"/>
    <w:basedOn w:val="DefaultParagraphFont"/>
    <w:uiPriority w:val="22"/>
    <w:qFormat/>
    <w:rsid w:val="00A76341"/>
    <w:rPr>
      <w:b/>
      <w:bCs/>
    </w:rPr>
  </w:style>
  <w:style w:type="character" w:customStyle="1" w:styleId="apple-converted-space">
    <w:name w:val="apple-converted-space"/>
    <w:basedOn w:val="DefaultParagraphFont"/>
    <w:rsid w:val="00A763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7679681">
      <w:bodyDiv w:val="1"/>
      <w:marLeft w:val="0"/>
      <w:marRight w:val="0"/>
      <w:marTop w:val="0"/>
      <w:marBottom w:val="0"/>
      <w:divBdr>
        <w:top w:val="none" w:sz="0" w:space="0" w:color="auto"/>
        <w:left w:val="none" w:sz="0" w:space="0" w:color="auto"/>
        <w:bottom w:val="none" w:sz="0" w:space="0" w:color="auto"/>
        <w:right w:val="none" w:sz="0" w:space="0" w:color="auto"/>
      </w:divBdr>
      <w:divsChild>
        <w:div w:id="760754742">
          <w:marLeft w:val="0"/>
          <w:marRight w:val="0"/>
          <w:marTop w:val="0"/>
          <w:marBottom w:val="0"/>
          <w:divBdr>
            <w:top w:val="none" w:sz="0" w:space="0" w:color="auto"/>
            <w:left w:val="none" w:sz="0" w:space="0" w:color="auto"/>
            <w:bottom w:val="none" w:sz="0" w:space="0" w:color="auto"/>
            <w:right w:val="none" w:sz="0" w:space="0" w:color="auto"/>
          </w:divBdr>
        </w:div>
        <w:div w:id="1239053125">
          <w:marLeft w:val="0"/>
          <w:marRight w:val="0"/>
          <w:marTop w:val="0"/>
          <w:marBottom w:val="0"/>
          <w:divBdr>
            <w:top w:val="none" w:sz="0" w:space="0" w:color="auto"/>
            <w:left w:val="none" w:sz="0" w:space="0" w:color="auto"/>
            <w:bottom w:val="none" w:sz="0" w:space="0" w:color="auto"/>
            <w:right w:val="none" w:sz="0" w:space="0" w:color="auto"/>
          </w:divBdr>
        </w:div>
        <w:div w:id="1075124406">
          <w:marLeft w:val="0"/>
          <w:marRight w:val="0"/>
          <w:marTop w:val="0"/>
          <w:marBottom w:val="0"/>
          <w:divBdr>
            <w:top w:val="none" w:sz="0" w:space="0" w:color="auto"/>
            <w:left w:val="none" w:sz="0" w:space="0" w:color="auto"/>
            <w:bottom w:val="none" w:sz="0" w:space="0" w:color="auto"/>
            <w:right w:val="none" w:sz="0" w:space="0" w:color="auto"/>
          </w:divBdr>
        </w:div>
        <w:div w:id="475222028">
          <w:marLeft w:val="0"/>
          <w:marRight w:val="0"/>
          <w:marTop w:val="0"/>
          <w:marBottom w:val="0"/>
          <w:divBdr>
            <w:top w:val="none" w:sz="0" w:space="0" w:color="auto"/>
            <w:left w:val="none" w:sz="0" w:space="0" w:color="auto"/>
            <w:bottom w:val="none" w:sz="0" w:space="0" w:color="auto"/>
            <w:right w:val="none" w:sz="0" w:space="0" w:color="auto"/>
          </w:divBdr>
        </w:div>
        <w:div w:id="2013529664">
          <w:marLeft w:val="0"/>
          <w:marRight w:val="0"/>
          <w:marTop w:val="0"/>
          <w:marBottom w:val="0"/>
          <w:divBdr>
            <w:top w:val="none" w:sz="0" w:space="0" w:color="auto"/>
            <w:left w:val="none" w:sz="0" w:space="0" w:color="auto"/>
            <w:bottom w:val="none" w:sz="0" w:space="0" w:color="auto"/>
            <w:right w:val="none" w:sz="0" w:space="0" w:color="auto"/>
          </w:divBdr>
        </w:div>
        <w:div w:id="1204100751">
          <w:marLeft w:val="0"/>
          <w:marRight w:val="0"/>
          <w:marTop w:val="0"/>
          <w:marBottom w:val="0"/>
          <w:divBdr>
            <w:top w:val="none" w:sz="0" w:space="0" w:color="auto"/>
            <w:left w:val="none" w:sz="0" w:space="0" w:color="auto"/>
            <w:bottom w:val="none" w:sz="0" w:space="0" w:color="auto"/>
            <w:right w:val="none" w:sz="0" w:space="0" w:color="auto"/>
          </w:divBdr>
        </w:div>
        <w:div w:id="1908294647">
          <w:marLeft w:val="0"/>
          <w:marRight w:val="0"/>
          <w:marTop w:val="0"/>
          <w:marBottom w:val="0"/>
          <w:divBdr>
            <w:top w:val="none" w:sz="0" w:space="0" w:color="auto"/>
            <w:left w:val="none" w:sz="0" w:space="0" w:color="auto"/>
            <w:bottom w:val="none" w:sz="0" w:space="0" w:color="auto"/>
            <w:right w:val="none" w:sz="0" w:space="0" w:color="auto"/>
          </w:divBdr>
        </w:div>
        <w:div w:id="1747147711">
          <w:marLeft w:val="0"/>
          <w:marRight w:val="0"/>
          <w:marTop w:val="0"/>
          <w:marBottom w:val="0"/>
          <w:divBdr>
            <w:top w:val="none" w:sz="0" w:space="0" w:color="auto"/>
            <w:left w:val="none" w:sz="0" w:space="0" w:color="auto"/>
            <w:bottom w:val="none" w:sz="0" w:space="0" w:color="auto"/>
            <w:right w:val="none" w:sz="0" w:space="0" w:color="auto"/>
          </w:divBdr>
        </w:div>
        <w:div w:id="1171456614">
          <w:marLeft w:val="0"/>
          <w:marRight w:val="0"/>
          <w:marTop w:val="0"/>
          <w:marBottom w:val="0"/>
          <w:divBdr>
            <w:top w:val="none" w:sz="0" w:space="0" w:color="auto"/>
            <w:left w:val="none" w:sz="0" w:space="0" w:color="auto"/>
            <w:bottom w:val="none" w:sz="0" w:space="0" w:color="auto"/>
            <w:right w:val="none" w:sz="0" w:space="0" w:color="auto"/>
          </w:divBdr>
        </w:div>
        <w:div w:id="120734217">
          <w:marLeft w:val="0"/>
          <w:marRight w:val="0"/>
          <w:marTop w:val="0"/>
          <w:marBottom w:val="0"/>
          <w:divBdr>
            <w:top w:val="none" w:sz="0" w:space="0" w:color="auto"/>
            <w:left w:val="none" w:sz="0" w:space="0" w:color="auto"/>
            <w:bottom w:val="none" w:sz="0" w:space="0" w:color="auto"/>
            <w:right w:val="none" w:sz="0" w:space="0" w:color="auto"/>
          </w:divBdr>
        </w:div>
        <w:div w:id="1679499959">
          <w:marLeft w:val="0"/>
          <w:marRight w:val="0"/>
          <w:marTop w:val="0"/>
          <w:marBottom w:val="0"/>
          <w:divBdr>
            <w:top w:val="none" w:sz="0" w:space="0" w:color="auto"/>
            <w:left w:val="none" w:sz="0" w:space="0" w:color="auto"/>
            <w:bottom w:val="none" w:sz="0" w:space="0" w:color="auto"/>
            <w:right w:val="none" w:sz="0" w:space="0" w:color="auto"/>
          </w:divBdr>
        </w:div>
        <w:div w:id="1515920004">
          <w:marLeft w:val="0"/>
          <w:marRight w:val="0"/>
          <w:marTop w:val="0"/>
          <w:marBottom w:val="0"/>
          <w:divBdr>
            <w:top w:val="none" w:sz="0" w:space="0" w:color="auto"/>
            <w:left w:val="none" w:sz="0" w:space="0" w:color="auto"/>
            <w:bottom w:val="none" w:sz="0" w:space="0" w:color="auto"/>
            <w:right w:val="none" w:sz="0" w:space="0" w:color="auto"/>
          </w:divBdr>
        </w:div>
        <w:div w:id="1093629666">
          <w:marLeft w:val="0"/>
          <w:marRight w:val="0"/>
          <w:marTop w:val="0"/>
          <w:marBottom w:val="0"/>
          <w:divBdr>
            <w:top w:val="none" w:sz="0" w:space="0" w:color="auto"/>
            <w:left w:val="none" w:sz="0" w:space="0" w:color="auto"/>
            <w:bottom w:val="none" w:sz="0" w:space="0" w:color="auto"/>
            <w:right w:val="none" w:sz="0" w:space="0" w:color="auto"/>
          </w:divBdr>
        </w:div>
        <w:div w:id="2015186044">
          <w:marLeft w:val="0"/>
          <w:marRight w:val="0"/>
          <w:marTop w:val="0"/>
          <w:marBottom w:val="0"/>
          <w:divBdr>
            <w:top w:val="none" w:sz="0" w:space="0" w:color="auto"/>
            <w:left w:val="none" w:sz="0" w:space="0" w:color="auto"/>
            <w:bottom w:val="none" w:sz="0" w:space="0" w:color="auto"/>
            <w:right w:val="none" w:sz="0" w:space="0" w:color="auto"/>
          </w:divBdr>
        </w:div>
        <w:div w:id="1514490876">
          <w:marLeft w:val="0"/>
          <w:marRight w:val="0"/>
          <w:marTop w:val="0"/>
          <w:marBottom w:val="0"/>
          <w:divBdr>
            <w:top w:val="none" w:sz="0" w:space="0" w:color="auto"/>
            <w:left w:val="none" w:sz="0" w:space="0" w:color="auto"/>
            <w:bottom w:val="none" w:sz="0" w:space="0" w:color="auto"/>
            <w:right w:val="none" w:sz="0" w:space="0" w:color="auto"/>
          </w:divBdr>
        </w:div>
        <w:div w:id="598370027">
          <w:marLeft w:val="0"/>
          <w:marRight w:val="0"/>
          <w:marTop w:val="0"/>
          <w:marBottom w:val="0"/>
          <w:divBdr>
            <w:top w:val="none" w:sz="0" w:space="0" w:color="auto"/>
            <w:left w:val="none" w:sz="0" w:space="0" w:color="auto"/>
            <w:bottom w:val="none" w:sz="0" w:space="0" w:color="auto"/>
            <w:right w:val="none" w:sz="0" w:space="0" w:color="auto"/>
          </w:divBdr>
        </w:div>
        <w:div w:id="1567759988">
          <w:marLeft w:val="0"/>
          <w:marRight w:val="0"/>
          <w:marTop w:val="0"/>
          <w:marBottom w:val="0"/>
          <w:divBdr>
            <w:top w:val="none" w:sz="0" w:space="0" w:color="auto"/>
            <w:left w:val="none" w:sz="0" w:space="0" w:color="auto"/>
            <w:bottom w:val="none" w:sz="0" w:space="0" w:color="auto"/>
            <w:right w:val="none" w:sz="0" w:space="0" w:color="auto"/>
          </w:divBdr>
        </w:div>
        <w:div w:id="1604344149">
          <w:marLeft w:val="0"/>
          <w:marRight w:val="0"/>
          <w:marTop w:val="0"/>
          <w:marBottom w:val="0"/>
          <w:divBdr>
            <w:top w:val="none" w:sz="0" w:space="0" w:color="auto"/>
            <w:left w:val="none" w:sz="0" w:space="0" w:color="auto"/>
            <w:bottom w:val="none" w:sz="0" w:space="0" w:color="auto"/>
            <w:right w:val="none" w:sz="0" w:space="0" w:color="auto"/>
          </w:divBdr>
        </w:div>
        <w:div w:id="763501019">
          <w:marLeft w:val="0"/>
          <w:marRight w:val="0"/>
          <w:marTop w:val="0"/>
          <w:marBottom w:val="0"/>
          <w:divBdr>
            <w:top w:val="none" w:sz="0" w:space="0" w:color="auto"/>
            <w:left w:val="none" w:sz="0" w:space="0" w:color="auto"/>
            <w:bottom w:val="none" w:sz="0" w:space="0" w:color="auto"/>
            <w:right w:val="none" w:sz="0" w:space="0" w:color="auto"/>
          </w:divBdr>
        </w:div>
        <w:div w:id="1852640534">
          <w:marLeft w:val="0"/>
          <w:marRight w:val="0"/>
          <w:marTop w:val="0"/>
          <w:marBottom w:val="0"/>
          <w:divBdr>
            <w:top w:val="none" w:sz="0" w:space="0" w:color="auto"/>
            <w:left w:val="none" w:sz="0" w:space="0" w:color="auto"/>
            <w:bottom w:val="none" w:sz="0" w:space="0" w:color="auto"/>
            <w:right w:val="none" w:sz="0" w:space="0" w:color="auto"/>
          </w:divBdr>
        </w:div>
        <w:div w:id="52704174">
          <w:marLeft w:val="0"/>
          <w:marRight w:val="0"/>
          <w:marTop w:val="0"/>
          <w:marBottom w:val="0"/>
          <w:divBdr>
            <w:top w:val="none" w:sz="0" w:space="0" w:color="auto"/>
            <w:left w:val="none" w:sz="0" w:space="0" w:color="auto"/>
            <w:bottom w:val="none" w:sz="0" w:space="0" w:color="auto"/>
            <w:right w:val="none" w:sz="0" w:space="0" w:color="auto"/>
          </w:divBdr>
        </w:div>
        <w:div w:id="711853594">
          <w:marLeft w:val="0"/>
          <w:marRight w:val="0"/>
          <w:marTop w:val="0"/>
          <w:marBottom w:val="0"/>
          <w:divBdr>
            <w:top w:val="none" w:sz="0" w:space="0" w:color="auto"/>
            <w:left w:val="none" w:sz="0" w:space="0" w:color="auto"/>
            <w:bottom w:val="none" w:sz="0" w:space="0" w:color="auto"/>
            <w:right w:val="none" w:sz="0" w:space="0" w:color="auto"/>
          </w:divBdr>
        </w:div>
      </w:divsChild>
    </w:div>
    <w:div w:id="743406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5571</TotalTime>
  <Pages>1</Pages>
  <Words>721</Words>
  <Characters>4112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Lien Chen</dc:creator>
  <cp:lastModifiedBy>Lien Chen</cp:lastModifiedBy>
  <cp:revision>2</cp:revision>
  <dcterms:created xsi:type="dcterms:W3CDTF">2014-07-10T15:43:00Z</dcterms:created>
  <dcterms:modified xsi:type="dcterms:W3CDTF">2014-07-14T12:35:00Z</dcterms:modified>
</cp:coreProperties>
</file>