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image/png" Extension="png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Mar 27th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preliminary version of new Yield Curve Builder with QuantLib. Curve consistency checks out and forward rates make sense. However, spot rates still seem nonsensical.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Replaced old Scale (Scale_Legacy) with new one in the repository (Johnson)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Proxy for Pipeline Hedging Costs Report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We use the Swaption Volatility and Realized Current Coupon Volatility for the Proxy.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The Realized Volatility is the annualized volatility of absolute return of current coupon. This volatility is calculated in an interval of 60 days.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Effective Guarantee Fees and Upfront Loan-Level Price Adjustments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Use Fannie Mae single family effective g-fee rate and single-family average charged g-fee on new acquisitions data which is produced on Fannie Mae annual and quarterly SEC filing documents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Also shows Upfront Loan-Level Price Adjustments matrix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Origination Market Concentration report (Lien):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VBA code for generating the daily report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Added issued volume for each originator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Primary market report progress (Lien):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Productionalized the daily report -  set it up to be part of daily batch report run.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The reports are posted in </w:t>
      </w:r>
      <w:r w:rsidDel="00000000" w:rsidR="00000000" w:rsidRPr="00000000">
        <w:rPr>
          <w:rFonts w:ascii="Calibri" w:cs="Calibri" w:eastAsia="Calibri" w:hAnsi="Calibri"/>
          <w:color w:val="000000"/>
          <w:u w:val="single"/>
          <w:rtl w:val="0"/>
        </w:rPr>
        <w:t xml:space="preserve">S:\Analytics\Primary Market\&lt;yyyy&gt;\&lt;mm&gt;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Added short term analysis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spacing w:after="0" w:before="0" w:line="276" w:lineRule="auto"/>
        <w:ind w:left="360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One Week Changes (bps) - Recent Two Months for Servicing Spread and FHLMC Survey Rate Report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spacing w:after="0" w:before="0" w:line="276" w:lineRule="auto"/>
        <w:ind w:left="360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One Month Changes - Recent 6 Month for Time from Refinancing Application to Funding Report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2880" w:right="0" w:firstLine="0"/>
        <w:contextualSpacing w:val="0"/>
        <w:jc w:val="left"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Those short term charts will help to capture the dynamic changes, and would be good supplement for the long term trend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right"/>
      </w:pPr>
      <w:r w:rsidDel="00000000" w:rsidR="00000000" w:rsidRPr="00000000">
        <w:drawing>
          <wp:inline distB="114300" distT="114300" distL="114300" distR="114300">
            <wp:extent cx="5376863" cy="1400175"/>
            <wp:effectExtent b="0" l="0" r="0" t="0"/>
            <wp:docPr id="2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the hedged return for IOS+TBA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Prepared the model input time series: return, index OAS, index realized carry, realized volatility, prepayment risk premium, yield curve slope</w:t>
      </w:r>
    </w:p>
    <w:p w:rsidR="00000000" w:rsidDel="00000000" w:rsidP="00000000" w:rsidRDefault="00000000" w:rsidRPr="00000000">
      <w:pPr>
        <w:ind w:left="144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Further validate curve construction from QuantLib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Structurize the yield curve builder by following OOP design patterns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the hedged return for IOS+TBA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 regression on the hedged return of the prediction parameters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Calculate z-score for the return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Optimize Sharpe Ratio by changing the investment percentage parameter K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Rewriting script for scrubbing Credit loan data (Raj)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Prepayment/Roll-rate reports (Raj)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Savai, Johnson Ho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03.png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