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footer+xml" PartName="/word/foot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Subtitle"/>
        <w:contextualSpacing w:val="0"/>
        <w:jc w:val="center"/>
      </w:pPr>
      <w:bookmarkStart w:colFirst="0" w:colLast="0" w:name="h.b74o81b3scl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contextualSpacing w:val="0"/>
        <w:jc w:val="center"/>
      </w:pPr>
      <w:bookmarkStart w:colFirst="0" w:colLast="0" w:name="h.wsqqkbscjxuv" w:id="1"/>
      <w:bookmarkEnd w:id="1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Quant Research Meeting 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  <w:jc w:val="center"/>
      </w:pPr>
      <w:r w:rsidDel="00000000" w:rsidR="00000000" w:rsidRPr="00000000">
        <w:rPr>
          <w:color w:val="666666"/>
          <w:sz w:val="20"/>
          <w:rtl w:val="0"/>
        </w:rPr>
        <w:t xml:space="preserve">Apr 10th</w:t>
      </w:r>
      <w:r w:rsidDel="00000000" w:rsidR="00000000" w:rsidRPr="00000000">
        <w:rPr>
          <w:color w:val="666666"/>
          <w:sz w:val="20"/>
          <w:rtl w:val="0"/>
        </w:rPr>
        <w:t xml:space="preserve">, 2015 | Location: Conference Room</w:t>
      </w:r>
    </w:p>
    <w:p w:rsidR="00000000" w:rsidDel="00000000" w:rsidP="00000000" w:rsidRDefault="00000000" w:rsidRPr="00000000">
      <w:pPr>
        <w:pStyle w:val="Subtitle"/>
        <w:contextualSpacing w:val="0"/>
      </w:pPr>
      <w:bookmarkStart w:colFirst="0" w:colLast="0" w:name="h.ftwnluuczd8l" w:id="2"/>
      <w:bookmarkEnd w:id="2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Agenda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ind w:left="36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360" w:firstLine="0"/>
        <w:contextualSpacing w:val="0"/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single"/>
          <w:rtl w:val="0"/>
        </w:rPr>
        <w:t xml:space="preserve">Project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Completed Projects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ffective Guarantee Fees and Rate Changes (Lien)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Updated PMI adjustment matrix for FNMA loans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Add historical MIP updates information for GNMA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2"/>
        </w:numPr>
        <w:spacing w:after="0" w:before="0" w:line="276" w:lineRule="auto"/>
        <w:ind w:left="144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Issuance of Specified Pools (Lien)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2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Add issuance volume of Non-TBA-Eligible (Jumbo / CQ / CR) specified pools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2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Add issuance volume of TBA-Eligible </w:t>
      </w:r>
      <w:r w:rsidDel="00000000" w:rsidR="00000000" w:rsidRPr="00000000">
        <w:rPr>
          <w:rFonts w:ascii="Arial" w:cs="Arial" w:eastAsia="Arial" w:hAnsi="Arial"/>
          <w:color w:val="222222"/>
          <w:sz w:val="20"/>
          <w:highlight w:val="white"/>
          <w:rtl w:val="0"/>
        </w:rPr>
        <w:t xml:space="preserve">(Low FICO / MHA / Investor / 175K/ HLB / MLB / LLB / Geo)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specified pools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2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Put new report into production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Originator Mortgage Rate (Lien)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Change AA job format for Wells Fargo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Write a batch to upload bank rate, and schedule it on machine 348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2"/>
        </w:numPr>
        <w:spacing w:after="0" w:before="0" w:line="276" w:lineRule="auto"/>
        <w:ind w:left="144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IOS Index Return Strategy (Lien)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2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Did the IOS hedged return regression on OAS(Px/Cpn)/Carry/Realized Vol/ppm risk premium/yield curve slope (R-square 0.4)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2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Calculate the return Z-score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2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Built a strategy based in Z-score to change long/short parameter K to optimize the Sharpe Ratio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GSE Loan Level Credit - Data/Modeling (Bobby)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Data</w:t>
      </w:r>
    </w:p>
    <w:p w:rsidR="00000000" w:rsidDel="00000000" w:rsidP="00000000" w:rsidRDefault="00000000" w:rsidRPr="00000000">
      <w:pPr>
        <w:numPr>
          <w:ilvl w:val="3"/>
          <w:numId w:val="2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SQL Loader scripts - handed over to IT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Accordion - R project for GSE LL data model specification/estimation</w:t>
      </w:r>
    </w:p>
    <w:p w:rsidR="00000000" w:rsidDel="00000000" w:rsidP="00000000" w:rsidRDefault="00000000" w:rsidRPr="00000000">
      <w:pPr>
        <w:numPr>
          <w:ilvl w:val="3"/>
          <w:numId w:val="2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Fitting module</w:t>
      </w:r>
    </w:p>
    <w:p w:rsidR="00000000" w:rsidDel="00000000" w:rsidP="00000000" w:rsidRDefault="00000000" w:rsidRPr="00000000">
      <w:pPr>
        <w:numPr>
          <w:ilvl w:val="3"/>
          <w:numId w:val="2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Initial Fits and Buckets (similar to JP)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New Scale with QuantLib (Neo)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Able to run yield curve builder with google protocol buffer input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Added class structures to yield curve builder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 Progress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FHA Production Report - Single Family Application Activity (Lien)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To add convexity adjustment to EDF prices input in yield curve builder (Neo)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Concentration of Non-Bank Lenders (Lien)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GSE Credit Data Reports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Generated Preliminary Origination Strats - ties closely to STACR/CAS origination strats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Performance/Surveillance Reports: Identifying metrics to report/formatting.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Average closing costs over time  (Lien)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IOS Index Return Excel UPdate - Write a program to save Unhedged return /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Hedged Return / Carry to TS database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(Lien)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Co-work with Bobby to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get Accordion working on my machine. (Lien)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Surveillance Reports on Credit Data (Raj)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Accordion High Level overview PPT and User Doc (Bobby)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keepNext w:val="0"/>
        <w:keepLines w:val="0"/>
        <w:widowControl w:val="0"/>
        <w:contextualSpacing w:val="0"/>
      </w:pPr>
      <w:bookmarkStart w:colFirst="0" w:colLast="0" w:name="h.mgui2fmtrt0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keepNext w:val="0"/>
        <w:keepLines w:val="0"/>
        <w:widowControl w:val="0"/>
        <w:contextualSpacing w:val="0"/>
      </w:pPr>
      <w:bookmarkStart w:colFirst="0" w:colLast="0" w:name="h.wukifsi9tk7x" w:id="4"/>
      <w:bookmarkEnd w:id="4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Attendees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Derek Ho, Sharad Chaudhary, Neo Wang, Lien Chen, Robert Morris, Raj Savai, Johnson hOMG</w:t>
      </w:r>
      <w:r w:rsidDel="00000000" w:rsidR="00000000" w:rsidRPr="00000000">
        <w:rPr>
          <w:rtl w:val="0"/>
        </w:rPr>
      </w:r>
    </w:p>
    <w:sectPr>
      <w:headerReference r:id="rId5" w:type="default"/>
      <w:footerReference r:id="rId6" w:type="default"/>
      <w:pgSz w:h="15840" w:w="12240"/>
      <w:pgMar w:bottom="720" w:top="720" w:left="720" w:right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ahoma"/>
  <w:font w:name="Verdana"/>
  <w:font w:name="Syncopate"/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>
        <w:top w:color="auto" w:space="1" w:sz="4" w:val="single"/>
      </w:pBdr>
    </w:pPr>
  </w:p>
  <w:p w:rsidR="00000000" w:rsidDel="00000000" w:rsidP="00000000" w:rsidRDefault="00000000" w:rsidRPr="00000000">
    <w:pPr>
      <w:contextualSpacing w:val="0"/>
    </w:pPr>
    <w:r w:rsidDel="00000000" w:rsidR="00000000" w:rsidRPr="00000000">
      <w:rPr>
        <w:rFonts w:ascii="Cambria" w:cs="Cambria" w:eastAsia="Cambria" w:hAnsi="Cambria"/>
        <w:color w:val="2e398a"/>
        <w:rtl w:val="0"/>
      </w:rPr>
      <w:t xml:space="preserve">Cello Capital Management, LP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  <w:jc w:val="both"/>
    </w:pPr>
    <w:r w:rsidDel="00000000" w:rsidR="00000000" w:rsidRPr="00000000">
      <w:rPr>
        <w:rtl w:val="0"/>
      </w:rPr>
    </w:r>
    <w:r w:rsidDel="00000000" w:rsidR="00000000" w:rsidRPr="00000000">
      <w:drawing>
        <wp:anchor allowOverlap="0" behindDoc="0" distB="57150" distT="57150" distL="57150" distR="57150" hidden="0" layoutInCell="0" locked="0" relativeHeight="0" simplePos="0">
          <wp:simplePos x="0" y="0"/>
          <wp:positionH relativeFrom="margin">
            <wp:posOffset>9525</wp:posOffset>
          </wp:positionH>
          <wp:positionV relativeFrom="paragraph">
            <wp:posOffset>171450</wp:posOffset>
          </wp:positionV>
          <wp:extent cx="719138" cy="719138"/>
          <wp:effectExtent b="0" l="0" r="0" t="0"/>
          <wp:wrapSquare wrapText="bothSides" distB="57150" distT="57150" distL="57150" distR="57150"/>
          <wp:docPr descr="Cello Standard logo small.jpg" id="1" name="image01.jpg"/>
          <a:graphic>
            <a:graphicData uri="http://schemas.openxmlformats.org/drawingml/2006/picture">
              <pic:pic>
                <pic:nvPicPr>
                  <pic:cNvPr descr="Cello Standard logo small.jpg" id="0" name="image0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9138" cy="719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ahoma" w:cs="Tahoma" w:eastAsia="Tahoma" w:hAnsi="Tahoma"/>
        <w:b w:val="0"/>
        <w:i w:val="0"/>
        <w:smallCaps w:val="0"/>
        <w:strike w:val="0"/>
        <w:color w:val="999999"/>
        <w:sz w:val="22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76" w:lineRule="auto"/>
        <w:ind w:left="720" w:right="0" w:hanging="360"/>
        <w:contextualSpacing w:val="1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contextualSpacing w:val="1"/>
    </w:pPr>
    <w:rPr>
      <w:rFonts w:ascii="Verdana" w:cs="Verdana" w:eastAsia="Verdana" w:hAnsi="Verdana"/>
      <w:b w:val="0"/>
      <w:sz w:val="22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line="240" w:lineRule="auto"/>
      <w:contextualSpacing w:val="1"/>
      <w:jc w:val="right"/>
    </w:pPr>
    <w:rPr>
      <w:rFonts w:ascii="Tahoma" w:cs="Tahoma" w:eastAsia="Tahoma" w:hAnsi="Tahoma"/>
      <w:b w:val="0"/>
      <w:color w:val="999999"/>
      <w:sz w:val="20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contextualSpacing w:val="1"/>
    </w:pPr>
    <w:rPr>
      <w:b w:val="0"/>
      <w:color w:val="ffffff"/>
      <w:shd w:fill="b8523f" w:val="clear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line="360" w:lineRule="auto"/>
      <w:contextualSpacing w:val="1"/>
      <w:jc w:val="right"/>
    </w:pPr>
    <w:rPr>
      <w:rFonts w:ascii="Syncopate" w:cs="Syncopate" w:eastAsia="Syncopate" w:hAnsi="Syncopate"/>
      <w:b w:val="0"/>
      <w:color w:val="b8523f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line="276" w:lineRule="auto"/>
      <w:contextualSpacing w:val="1"/>
    </w:pPr>
    <w:rPr>
      <w:color w:val="b8523f"/>
      <w:sz w:val="36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01.jpg"/></Relationships>
</file>