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5EC" w:rsidRPr="00957334" w:rsidRDefault="00D747F9" w:rsidP="00CC7C8D">
      <w:pPr>
        <w:pStyle w:val="Title"/>
        <w:rPr>
          <w:sz w:val="28"/>
          <w:szCs w:val="28"/>
        </w:rPr>
      </w:pPr>
      <w:r w:rsidRPr="00957334">
        <w:rPr>
          <w:sz w:val="28"/>
          <w:szCs w:val="28"/>
        </w:rPr>
        <w:t>Chapter 1 Exercises</w:t>
      </w:r>
      <w:r w:rsidR="00CC7C8D" w:rsidRPr="00957334">
        <w:rPr>
          <w:sz w:val="28"/>
          <w:szCs w:val="28"/>
        </w:rPr>
        <w:tab/>
      </w:r>
    </w:p>
    <w:p w:rsidR="00D747F9" w:rsidRDefault="00CC7C8D" w:rsidP="00CC7C8D">
      <w:pPr>
        <w:jc w:val="right"/>
      </w:pPr>
      <w:r>
        <w:t>Lien Chen</w:t>
      </w:r>
      <w:r>
        <w:tab/>
        <w:t>July 17</w:t>
      </w:r>
    </w:p>
    <w:p w:rsidR="00D747F9" w:rsidRPr="004F4D7B" w:rsidRDefault="00D747F9" w:rsidP="00D747F9">
      <w:pPr>
        <w:pStyle w:val="ListParagraph"/>
        <w:numPr>
          <w:ilvl w:val="0"/>
          <w:numId w:val="1"/>
        </w:numPr>
        <w:rPr>
          <w:b/>
        </w:rPr>
      </w:pPr>
      <w:r w:rsidRPr="004F4D7B">
        <w:rPr>
          <w:b/>
        </w:rPr>
        <w:t>Find a source for the historical securitization rates of mortgages in the US. What has been the range of the securitization rate? Was there a particular juncture in time after which it noticeably changed? Can you explain why?</w:t>
      </w:r>
    </w:p>
    <w:p w:rsidR="00D747F9" w:rsidRDefault="00D747F9" w:rsidP="00D747F9">
      <w:pPr>
        <w:pStyle w:val="ListParagraph"/>
      </w:pPr>
    </w:p>
    <w:p w:rsidR="0018085C" w:rsidRDefault="00D747F9" w:rsidP="0095338C">
      <w:pPr>
        <w:pStyle w:val="ListParagraph"/>
      </w:pPr>
      <w:r>
        <w:t xml:space="preserve">According to the data from year 2001 to 2006, </w:t>
      </w:r>
      <w:r w:rsidR="0018085C">
        <w:t>the securitization rates kept increase, while the origination amount reached its peak in 2003. That was due do the</w:t>
      </w:r>
      <w:r w:rsidR="0018085C">
        <w:t xml:space="preserve"> reduction in long-term </w:t>
      </w:r>
      <w:bookmarkStart w:id="0" w:name="_GoBack"/>
      <w:bookmarkEnd w:id="0"/>
      <w:r w:rsidR="0018085C">
        <w:t>interest rates through the end of 2003</w:t>
      </w:r>
      <w:r w:rsidR="0018085C">
        <w:t xml:space="preserve">. After 2003, the sub-prime market </w:t>
      </w:r>
      <w:r w:rsidR="0018085C">
        <w:t>continued rapid growth through 2005</w:t>
      </w:r>
      <w:r w:rsidR="0018085C">
        <w:t>. However, if we can get data after 2006, a sharp decline might be expected after financial crisis.</w:t>
      </w:r>
    </w:p>
    <w:tbl>
      <w:tblPr>
        <w:tblStyle w:val="TableGrid"/>
        <w:tblW w:w="9313" w:type="dxa"/>
        <w:tblLook w:val="04A0" w:firstRow="1" w:lastRow="0" w:firstColumn="1" w:lastColumn="0" w:noHBand="0" w:noVBand="1"/>
      </w:tblPr>
      <w:tblGrid>
        <w:gridCol w:w="661"/>
        <w:gridCol w:w="1184"/>
        <w:gridCol w:w="1017"/>
        <w:gridCol w:w="683"/>
        <w:gridCol w:w="1184"/>
        <w:gridCol w:w="1017"/>
        <w:gridCol w:w="683"/>
        <w:gridCol w:w="1184"/>
        <w:gridCol w:w="1017"/>
        <w:gridCol w:w="683"/>
      </w:tblGrid>
      <w:tr w:rsidR="0018085C" w:rsidRPr="0018085C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4F4D7B" w:rsidRDefault="0018085C" w:rsidP="00C603A5">
            <w:pPr>
              <w:jc w:val="center"/>
            </w:pPr>
          </w:p>
        </w:tc>
        <w:tc>
          <w:tcPr>
            <w:tcW w:w="2884" w:type="dxa"/>
            <w:gridSpan w:val="3"/>
            <w:noWrap/>
            <w:vAlign w:val="center"/>
          </w:tcPr>
          <w:p w:rsidR="0018085C" w:rsidRPr="004F4D7B" w:rsidRDefault="0018085C" w:rsidP="00C603A5">
            <w:pPr>
              <w:jc w:val="center"/>
            </w:pPr>
            <w:r w:rsidRPr="004F4D7B">
              <w:t>Sub-prime</w:t>
            </w:r>
          </w:p>
        </w:tc>
        <w:tc>
          <w:tcPr>
            <w:tcW w:w="2884" w:type="dxa"/>
            <w:gridSpan w:val="3"/>
            <w:noWrap/>
            <w:vAlign w:val="center"/>
            <w:hideMark/>
          </w:tcPr>
          <w:p w:rsidR="0018085C" w:rsidRPr="004F4D7B" w:rsidRDefault="0018085C" w:rsidP="00C603A5">
            <w:pPr>
              <w:jc w:val="center"/>
            </w:pPr>
            <w:r w:rsidRPr="004F4D7B">
              <w:t>Non-agency</w:t>
            </w:r>
          </w:p>
        </w:tc>
        <w:tc>
          <w:tcPr>
            <w:tcW w:w="2884" w:type="dxa"/>
            <w:gridSpan w:val="3"/>
            <w:vAlign w:val="center"/>
            <w:hideMark/>
          </w:tcPr>
          <w:p w:rsidR="0018085C" w:rsidRPr="004F4D7B" w:rsidRDefault="004F4D7B" w:rsidP="00C603A5">
            <w:pPr>
              <w:jc w:val="center"/>
            </w:pPr>
            <w:r>
              <w:t>A</w:t>
            </w:r>
            <w:r w:rsidRPr="004F4D7B">
              <w:t>gency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bookmarkStart w:id="1" w:name="RANGE!A5:J11"/>
            <w:r w:rsidRPr="0018085C">
              <w:rPr>
                <w:rFonts w:ascii="Arial" w:eastAsia="Times New Roman" w:hAnsi="Arial" w:cs="Arial"/>
                <w:sz w:val="18"/>
                <w:szCs w:val="18"/>
              </w:rPr>
              <w:t>Year</w:t>
            </w:r>
            <w:bookmarkEnd w:id="1"/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Origination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Issuance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Ratio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Origination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Issuance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Ratio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Origination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Issuance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Ratio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2001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87.1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190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46%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430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142.2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33%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1,433.00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1,087.60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76%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2002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122.7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231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53%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576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171.5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30%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1,898.00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1,442.60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76%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2003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195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335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58%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655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237.5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36%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2,690.00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2,130.90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79%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2004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362.63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540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67%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515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233.4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45%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1,345.00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1,018.60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76%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2005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Sub-prime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625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74%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570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280.7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49%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1,180.00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964.8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82%</w:t>
            </w:r>
          </w:p>
        </w:tc>
      </w:tr>
      <w:tr w:rsidR="0018085C" w:rsidRPr="004F4D7B" w:rsidTr="00C603A5">
        <w:trPr>
          <w:trHeight w:val="255"/>
        </w:trPr>
        <w:tc>
          <w:tcPr>
            <w:tcW w:w="661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2006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448.6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600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75%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480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219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46%</w:t>
            </w:r>
          </w:p>
        </w:tc>
        <w:tc>
          <w:tcPr>
            <w:tcW w:w="1184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1,040.00</w:t>
            </w:r>
          </w:p>
        </w:tc>
        <w:tc>
          <w:tcPr>
            <w:tcW w:w="1017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904.6</w:t>
            </w:r>
          </w:p>
        </w:tc>
        <w:tc>
          <w:tcPr>
            <w:tcW w:w="683" w:type="dxa"/>
            <w:noWrap/>
            <w:vAlign w:val="center"/>
            <w:hideMark/>
          </w:tcPr>
          <w:p w:rsidR="0018085C" w:rsidRPr="0018085C" w:rsidRDefault="0018085C" w:rsidP="00C603A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8085C">
              <w:rPr>
                <w:rFonts w:ascii="Arial" w:eastAsia="Times New Roman" w:hAnsi="Arial" w:cs="Arial"/>
                <w:sz w:val="18"/>
                <w:szCs w:val="18"/>
              </w:rPr>
              <w:t>87%</w:t>
            </w:r>
          </w:p>
        </w:tc>
      </w:tr>
    </w:tbl>
    <w:p w:rsidR="0018085C" w:rsidRDefault="0018085C" w:rsidP="0095338C">
      <w:pPr>
        <w:pStyle w:val="ListParagraph"/>
      </w:pPr>
    </w:p>
    <w:p w:rsidR="0018085C" w:rsidRDefault="0018085C" w:rsidP="0018085C">
      <w:pPr>
        <w:pStyle w:val="ListParagraph"/>
        <w:jc w:val="center"/>
      </w:pPr>
      <w:r>
        <w:rPr>
          <w:noProof/>
        </w:rPr>
        <w:drawing>
          <wp:inline distT="0" distB="0" distL="0" distR="0" wp14:anchorId="0595AE6F">
            <wp:extent cx="3240418" cy="268281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84" cy="2684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A295E" w:rsidRDefault="00AA295E" w:rsidP="00AA295E">
      <w:pPr>
        <w:pStyle w:val="Footer"/>
        <w:ind w:left="900" w:hanging="720"/>
        <w:rPr>
          <w:sz w:val="16"/>
          <w:szCs w:val="16"/>
        </w:rPr>
      </w:pPr>
    </w:p>
    <w:p w:rsidR="00AA295E" w:rsidRDefault="00AA295E" w:rsidP="0018085C">
      <w:pPr>
        <w:pStyle w:val="ListParagraph"/>
        <w:jc w:val="center"/>
      </w:pPr>
    </w:p>
    <w:p w:rsidR="00D747F9" w:rsidRPr="00CC7C8D" w:rsidRDefault="004F4D7B" w:rsidP="00CC7C8D">
      <w:pPr>
        <w:pStyle w:val="ListParagraph"/>
        <w:numPr>
          <w:ilvl w:val="0"/>
          <w:numId w:val="1"/>
        </w:numPr>
        <w:rPr>
          <w:b/>
        </w:rPr>
      </w:pPr>
      <w:r>
        <w:br w:type="page"/>
      </w:r>
      <w:r w:rsidRPr="00CC7C8D">
        <w:rPr>
          <w:b/>
        </w:rPr>
        <w:lastRenderedPageBreak/>
        <w:t>Plot the historical contribution of residential fixed investment to GDP. Currently, how much is residential fixed investment contributing to GDP growth?</w:t>
      </w:r>
    </w:p>
    <w:p w:rsidR="004F4D7B" w:rsidRDefault="004F4D7B" w:rsidP="004F4D7B">
      <w:pPr>
        <w:pStyle w:val="ListParagraph"/>
      </w:pPr>
    </w:p>
    <w:p w:rsidR="004F4D7B" w:rsidRDefault="00C603A5" w:rsidP="004F4D7B">
      <w:pPr>
        <w:pStyle w:val="ListParagraph"/>
      </w:pPr>
      <w:r>
        <w:t xml:space="preserve">The following is </w:t>
      </w:r>
      <w:r>
        <w:t>the historical contribution of residential fixed investment to GDP</w:t>
      </w:r>
      <w:r>
        <w:t xml:space="preserve">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1"/>
        <w:gridCol w:w="2328"/>
        <w:gridCol w:w="1228"/>
        <w:gridCol w:w="906"/>
      </w:tblGrid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Gross domestic product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Real estate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Percent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1997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8608478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1044497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12.1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1998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9089133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1083165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11.9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1999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9665696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1174978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12.2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2000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10289748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1243425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12.1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2001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10625252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1340276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12.6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10980187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1412026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12.9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2003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11512237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1465427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12.7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2004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12277037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1534600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12.5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13095426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1649715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12.6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13857893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1722442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12.4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2007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14480312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1837349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12.7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14720254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1896998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12.9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2009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14417942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1904458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13.2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2010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14958261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1942946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13.0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2011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15533839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2000103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12.9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2012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16244586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2094395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12.9</w:t>
            </w:r>
          </w:p>
        </w:tc>
      </w:tr>
      <w:tr w:rsidR="00C603A5" w:rsidRPr="00C603A5" w:rsidTr="00C603A5">
        <w:trPr>
          <w:trHeight w:val="255"/>
          <w:jc w:val="center"/>
        </w:trPr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2013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16799735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2178614</w:t>
            </w:r>
          </w:p>
        </w:tc>
        <w:tc>
          <w:tcPr>
            <w:tcW w:w="0" w:type="auto"/>
            <w:noWrap/>
            <w:vAlign w:val="center"/>
            <w:hideMark/>
          </w:tcPr>
          <w:p w:rsidR="00C603A5" w:rsidRPr="00C603A5" w:rsidRDefault="00C603A5" w:rsidP="00C603A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603A5">
              <w:rPr>
                <w:rFonts w:ascii="Arial" w:eastAsia="Times New Roman" w:hAnsi="Arial" w:cs="Arial"/>
                <w:sz w:val="20"/>
                <w:szCs w:val="20"/>
              </w:rPr>
              <w:t>13.0</w:t>
            </w:r>
          </w:p>
        </w:tc>
      </w:tr>
    </w:tbl>
    <w:p w:rsidR="00C603A5" w:rsidRDefault="00C603A5" w:rsidP="00C603A5">
      <w:pPr>
        <w:pStyle w:val="ListParagraph"/>
        <w:jc w:val="center"/>
      </w:pPr>
    </w:p>
    <w:p w:rsidR="00C603A5" w:rsidRDefault="00C603A5" w:rsidP="00C603A5">
      <w:pPr>
        <w:pStyle w:val="ListParagraph"/>
        <w:jc w:val="center"/>
      </w:pPr>
      <w:r>
        <w:rPr>
          <w:noProof/>
        </w:rPr>
        <w:drawing>
          <wp:inline distT="0" distB="0" distL="0" distR="0" wp14:anchorId="6FC274FB" wp14:editId="5BEF9B32">
            <wp:extent cx="4572000" cy="2743200"/>
            <wp:effectExtent l="0" t="0" r="1905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E3412D" w:rsidRDefault="00C603A5" w:rsidP="00C603A5">
      <w:pPr>
        <w:pStyle w:val="ListParagraph"/>
      </w:pPr>
      <w:r>
        <w:t>We can see from the chart, residential investment contribution growth from 12.1% in 1997 to 13.0% last year</w:t>
      </w:r>
      <w:r w:rsidR="00E3412D">
        <w:t xml:space="preserve">. Last year </w:t>
      </w:r>
      <w:r w:rsidR="00E3412D">
        <w:t>residential investment</w:t>
      </w:r>
      <w:r w:rsidR="00E3412D">
        <w:t xml:space="preserve"> stand</w:t>
      </w:r>
      <w:r w:rsidR="0066581C">
        <w:t>s</w:t>
      </w:r>
      <w:r w:rsidR="00E3412D">
        <w:t xml:space="preserve"> for </w:t>
      </w:r>
      <w:r w:rsidR="00E3412D" w:rsidRPr="0066581C">
        <w:rPr>
          <w:u w:val="single"/>
        </w:rPr>
        <w:t>15.17%</w:t>
      </w:r>
      <w:r w:rsidR="00E3412D">
        <w:t xml:space="preserve"> to total GDP growth.</w:t>
      </w:r>
    </w:p>
    <w:p w:rsidR="00AA295E" w:rsidRDefault="00AA295E" w:rsidP="00C603A5">
      <w:pPr>
        <w:pStyle w:val="ListParagraph"/>
      </w:pPr>
    </w:p>
    <w:p w:rsidR="00AA295E" w:rsidRDefault="00AA295E" w:rsidP="00C603A5">
      <w:pPr>
        <w:pStyle w:val="ListParagraph"/>
      </w:pPr>
    </w:p>
    <w:p w:rsidR="00957334" w:rsidRDefault="00957334" w:rsidP="008B3857">
      <w:pPr>
        <w:pStyle w:val="ListParagraph"/>
        <w:tabs>
          <w:tab w:val="left" w:pos="1350"/>
        </w:tabs>
        <w:spacing w:after="0" w:line="240" w:lineRule="auto"/>
        <w:ind w:left="1440" w:hanging="720"/>
        <w:rPr>
          <w:sz w:val="16"/>
          <w:szCs w:val="16"/>
        </w:rPr>
      </w:pPr>
    </w:p>
    <w:p w:rsidR="00957334" w:rsidRPr="00AA295E" w:rsidRDefault="00957334" w:rsidP="008B3857">
      <w:pPr>
        <w:pStyle w:val="ListParagraph"/>
        <w:tabs>
          <w:tab w:val="left" w:pos="1350"/>
        </w:tabs>
        <w:spacing w:after="0" w:line="240" w:lineRule="auto"/>
        <w:ind w:left="1440" w:hanging="720"/>
        <w:rPr>
          <w:rFonts w:ascii="Arial" w:eastAsia="Times New Roman" w:hAnsi="Arial" w:cs="Arial"/>
          <w:color w:val="0000FF"/>
          <w:sz w:val="16"/>
          <w:szCs w:val="16"/>
          <w:u w:val="single"/>
        </w:rPr>
      </w:pPr>
    </w:p>
    <w:p w:rsidR="00C603A5" w:rsidRPr="00577500" w:rsidRDefault="00E3412D" w:rsidP="00E3412D">
      <w:pPr>
        <w:pStyle w:val="ListParagraph"/>
        <w:numPr>
          <w:ilvl w:val="0"/>
          <w:numId w:val="1"/>
        </w:numPr>
        <w:rPr>
          <w:b/>
        </w:rPr>
      </w:pPr>
      <w:r w:rsidRPr="00577500">
        <w:rPr>
          <w:b/>
        </w:rPr>
        <w:lastRenderedPageBreak/>
        <w:t>Download historical rates of equity extraction from</w:t>
      </w:r>
      <w:r w:rsidR="0066581C" w:rsidRPr="00577500">
        <w:rPr>
          <w:b/>
        </w:rPr>
        <w:t xml:space="preserve"> Freddie Mac and plot them. Why</w:t>
      </w:r>
      <w:r w:rsidRPr="00577500">
        <w:rPr>
          <w:b/>
        </w:rPr>
        <w:t xml:space="preserve"> was there such a big change in this series recently?</w:t>
      </w:r>
    </w:p>
    <w:p w:rsidR="00E3412D" w:rsidRDefault="00E3412D" w:rsidP="00E3412D">
      <w:pPr>
        <w:pStyle w:val="ListParagraph"/>
      </w:pPr>
    </w:p>
    <w:p w:rsidR="00E3412D" w:rsidRDefault="009740B3" w:rsidP="00E3412D">
      <w:pPr>
        <w:pStyle w:val="ListParagraph"/>
      </w:pPr>
      <w:r>
        <w:t xml:space="preserve">According to the </w:t>
      </w:r>
      <w:r w:rsidRPr="009740B3">
        <w:t xml:space="preserve">Freddie Mac Cash-Out Refinance </w:t>
      </w:r>
      <w:r>
        <w:t>report, the trend shows as:</w:t>
      </w:r>
    </w:p>
    <w:p w:rsidR="009740B3" w:rsidRDefault="009740B3" w:rsidP="009740B3">
      <w:pPr>
        <w:pStyle w:val="ListParagraph"/>
        <w:jc w:val="center"/>
      </w:pPr>
      <w:r>
        <w:rPr>
          <w:noProof/>
        </w:rPr>
        <w:drawing>
          <wp:inline distT="0" distB="0" distL="0" distR="0" wp14:anchorId="4265415C" wp14:editId="48DDA2BD">
            <wp:extent cx="4572000" cy="2695575"/>
            <wp:effectExtent l="0" t="0" r="19050" b="9525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9740B3" w:rsidRDefault="009740B3" w:rsidP="00E3412D">
      <w:pPr>
        <w:pStyle w:val="ListParagraph"/>
      </w:pPr>
      <w:r>
        <w:t>We can see a big change during 2003 to 2009. It increased to 29.28% in 2006 then sharply declined to 8.03% in 2009.</w:t>
      </w:r>
    </w:p>
    <w:p w:rsidR="009740B3" w:rsidRDefault="009740B3" w:rsidP="00E3412D">
      <w:pPr>
        <w:pStyle w:val="ListParagraph"/>
      </w:pPr>
    </w:p>
    <w:p w:rsidR="009740B3" w:rsidRDefault="009740B3" w:rsidP="00E3412D">
      <w:pPr>
        <w:pStyle w:val="ListParagraph"/>
      </w:pPr>
      <w:r>
        <w:t xml:space="preserve">The reason is </w:t>
      </w:r>
      <w:r>
        <w:t>equity extraction</w:t>
      </w:r>
      <w:r>
        <w:t xml:space="preserve"> is highly correlated with house market. We plot a detail graph as below</w:t>
      </w:r>
      <w:r w:rsidR="00577500">
        <w:t xml:space="preserve">, which clearly shows the similar trend shared by </w:t>
      </w:r>
      <w:r w:rsidR="00577500">
        <w:t>equity extraction</w:t>
      </w:r>
      <w:r w:rsidR="00577500">
        <w:t xml:space="preserve"> rate and HPI.</w:t>
      </w:r>
    </w:p>
    <w:p w:rsidR="00577500" w:rsidRDefault="00577500" w:rsidP="00577500">
      <w:pPr>
        <w:pStyle w:val="ListParagraph"/>
        <w:jc w:val="center"/>
      </w:pPr>
      <w:r>
        <w:rPr>
          <w:noProof/>
        </w:rPr>
        <w:drawing>
          <wp:inline distT="0" distB="0" distL="0" distR="0" wp14:anchorId="52C11534" wp14:editId="36960084">
            <wp:extent cx="3166885" cy="2605178"/>
            <wp:effectExtent l="0" t="0" r="0" b="5080"/>
            <wp:docPr id="29814" name="Picture 4" descr="http://www.voxeu.org/sites/default/files/image/CooperTable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4" name="Picture 4" descr="http://www.voxeu.org/sites/default/files/image/CooperTable1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12" b="22134"/>
                    <a:stretch/>
                  </pic:blipFill>
                  <pic:spPr bwMode="auto">
                    <a:xfrm>
                      <a:off x="0" y="0"/>
                      <a:ext cx="3170359" cy="260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295E" w:rsidRDefault="00AA295E" w:rsidP="00577500">
      <w:pPr>
        <w:pStyle w:val="ListParagraph"/>
        <w:jc w:val="center"/>
      </w:pPr>
    </w:p>
    <w:p w:rsidR="00AA295E" w:rsidRDefault="00AA295E" w:rsidP="00577500">
      <w:pPr>
        <w:pStyle w:val="ListParagraph"/>
        <w:jc w:val="center"/>
      </w:pPr>
    </w:p>
    <w:p w:rsidR="00AA295E" w:rsidRPr="00AA295E" w:rsidRDefault="00AA295E" w:rsidP="00AA295E">
      <w:pPr>
        <w:ind w:left="720" w:firstLine="720"/>
        <w:rPr>
          <w:rFonts w:ascii="Arial" w:eastAsia="Times New Roman" w:hAnsi="Arial" w:cs="Arial"/>
          <w:color w:val="0000FF"/>
          <w:sz w:val="16"/>
          <w:szCs w:val="16"/>
          <w:u w:val="single"/>
        </w:rPr>
      </w:pPr>
    </w:p>
    <w:p w:rsidR="00AA295E" w:rsidRDefault="00AA295E">
      <w:r>
        <w:br w:type="page"/>
      </w:r>
    </w:p>
    <w:p w:rsidR="00577500" w:rsidRPr="00372DD3" w:rsidRDefault="00AA295E" w:rsidP="00AA295E">
      <w:pPr>
        <w:pStyle w:val="ListParagraph"/>
        <w:numPr>
          <w:ilvl w:val="0"/>
          <w:numId w:val="1"/>
        </w:numPr>
        <w:rPr>
          <w:b/>
        </w:rPr>
      </w:pPr>
      <w:r w:rsidRPr="00372DD3">
        <w:rPr>
          <w:b/>
        </w:rPr>
        <w:lastRenderedPageBreak/>
        <w:t>What is the correlation between OER and core CPI since 1985</w:t>
      </w:r>
    </w:p>
    <w:p w:rsidR="00AA295E" w:rsidRDefault="00AA295E" w:rsidP="00AA295E">
      <w:pPr>
        <w:pStyle w:val="ListParagraph"/>
      </w:pPr>
    </w:p>
    <w:p w:rsidR="00AD5D65" w:rsidRDefault="00AD5D65" w:rsidP="00AA295E">
      <w:pPr>
        <w:pStyle w:val="ListParagraph"/>
      </w:pPr>
      <w:r>
        <w:t>We use OER and CPI data from 1985 to 2014. Since CPI shows a monotonic increase trend while OER shows volatile decrease, we cannot see a clear correlation.</w:t>
      </w:r>
    </w:p>
    <w:p w:rsidR="00AD5D65" w:rsidRDefault="00AD5D65" w:rsidP="00AD5D65">
      <w:pPr>
        <w:pStyle w:val="ListParagraph"/>
        <w:jc w:val="center"/>
      </w:pPr>
      <w:r>
        <w:rPr>
          <w:noProof/>
        </w:rPr>
        <w:drawing>
          <wp:inline distT="0" distB="0" distL="0" distR="0" wp14:anchorId="5E30015E">
            <wp:extent cx="3978943" cy="27432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4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5D65" w:rsidRDefault="00AD5D65" w:rsidP="00AD5D65">
      <w:pPr>
        <w:pStyle w:val="ListParagraph"/>
      </w:pPr>
      <w:r>
        <w:t>So I calculated the first order difference for CPI:</w:t>
      </w:r>
    </w:p>
    <w:p w:rsidR="00AD5D65" w:rsidRDefault="00AD5D65" w:rsidP="00AD5D65">
      <w:pPr>
        <w:pStyle w:val="ListParagraph"/>
        <w:jc w:val="center"/>
      </w:pPr>
      <w:r>
        <w:rPr>
          <w:noProof/>
        </w:rPr>
        <w:drawing>
          <wp:inline distT="0" distB="0" distL="0" distR="0" wp14:anchorId="2A556A0F">
            <wp:extent cx="3978944" cy="27432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44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5D65" w:rsidRDefault="00AD0842" w:rsidP="00AD5D65">
      <w:pPr>
        <w:pStyle w:val="ListParagraph"/>
      </w:pPr>
      <w:r>
        <w:t xml:space="preserve">The result shows a high volatility in CPI first order difference and the linear regression result also show it </w:t>
      </w:r>
      <w:r w:rsidRPr="00AD0842">
        <w:t>​​fluctuate around the mean.</w:t>
      </w:r>
      <w:r>
        <w:t xml:space="preserve"> This two series have a correlation of 1.219.</w:t>
      </w:r>
    </w:p>
    <w:p w:rsidR="00AD0842" w:rsidRDefault="00AD0842" w:rsidP="00AD5D65">
      <w:pPr>
        <w:pStyle w:val="ListParagraph"/>
      </w:pPr>
    </w:p>
    <w:p w:rsidR="00AD0842" w:rsidRDefault="00AD0842" w:rsidP="00AD5D65">
      <w:pPr>
        <w:pStyle w:val="ListParagraph"/>
      </w:pPr>
      <w:r>
        <w:t>I also checked the increase rate as the second order difference of CPI:</w:t>
      </w:r>
    </w:p>
    <w:p w:rsidR="00AD0842" w:rsidRDefault="00AD0842" w:rsidP="00AD0842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13D0B3CA">
            <wp:extent cx="3978945" cy="27432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4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0842" w:rsidRDefault="00AD0842" w:rsidP="00AD5D65">
      <w:pPr>
        <w:pStyle w:val="ListParagraph"/>
      </w:pPr>
      <w:r>
        <w:t>The correlation is still quite low, 0.1178.</w:t>
      </w:r>
    </w:p>
    <w:p w:rsidR="00AD0842" w:rsidRDefault="00AD0842" w:rsidP="00AD5D65">
      <w:pPr>
        <w:pStyle w:val="ListParagraph"/>
      </w:pPr>
    </w:p>
    <w:p w:rsidR="00AD0842" w:rsidRDefault="00AD0842" w:rsidP="00AD5D65">
      <w:pPr>
        <w:pStyle w:val="ListParagraph"/>
      </w:pPr>
      <w:r>
        <w:t xml:space="preserve">I guess the results do not show that OER is a good explainer factor of CPI. </w:t>
      </w:r>
    </w:p>
    <w:p w:rsidR="00372DD3" w:rsidRDefault="00372DD3" w:rsidP="00AD5D65">
      <w:pPr>
        <w:pStyle w:val="ListParagraph"/>
      </w:pPr>
    </w:p>
    <w:p w:rsidR="00372DD3" w:rsidRDefault="00372DD3" w:rsidP="00AD5D65">
      <w:pPr>
        <w:pStyle w:val="ListParagraph"/>
      </w:pPr>
    </w:p>
    <w:p w:rsidR="00372DD3" w:rsidRDefault="00372DD3" w:rsidP="00AD5D65">
      <w:pPr>
        <w:pStyle w:val="ListParagraph"/>
      </w:pPr>
    </w:p>
    <w:p w:rsidR="00372DD3" w:rsidRDefault="00372DD3" w:rsidP="00AD5D65">
      <w:pPr>
        <w:pStyle w:val="ListParagraph"/>
      </w:pPr>
    </w:p>
    <w:p w:rsidR="00372DD3" w:rsidRDefault="00372DD3" w:rsidP="00AD5D65">
      <w:pPr>
        <w:pStyle w:val="ListParagraph"/>
      </w:pPr>
    </w:p>
    <w:p w:rsidR="00372DD3" w:rsidRDefault="00372DD3" w:rsidP="00AD5D65">
      <w:pPr>
        <w:pStyle w:val="ListParagraph"/>
      </w:pPr>
    </w:p>
    <w:p w:rsidR="00372DD3" w:rsidRDefault="00372DD3">
      <w:r>
        <w:br w:type="page"/>
      </w:r>
    </w:p>
    <w:p w:rsidR="00372DD3" w:rsidRPr="003B3B27" w:rsidRDefault="00372DD3" w:rsidP="00372DD3">
      <w:pPr>
        <w:pStyle w:val="ListParagraph"/>
        <w:numPr>
          <w:ilvl w:val="0"/>
          <w:numId w:val="1"/>
        </w:numPr>
        <w:rPr>
          <w:b/>
        </w:rPr>
      </w:pPr>
      <w:r w:rsidRPr="003B3B27">
        <w:rPr>
          <w:b/>
        </w:rPr>
        <w:lastRenderedPageBreak/>
        <w:t>Plot house price versus OER since 1990. What is the correlation between these two series? Can you explain why this might be the case?</w:t>
      </w:r>
    </w:p>
    <w:p w:rsidR="00372DD3" w:rsidRDefault="00372DD3" w:rsidP="00372DD3">
      <w:pPr>
        <w:pStyle w:val="ListParagraph"/>
      </w:pPr>
    </w:p>
    <w:p w:rsidR="00372DD3" w:rsidRDefault="00372DD3" w:rsidP="00372DD3">
      <w:pPr>
        <w:pStyle w:val="ListParagraph"/>
      </w:pPr>
      <w:r>
        <w:t>We plot the OER and house price as below</w:t>
      </w:r>
    </w:p>
    <w:p w:rsidR="00372DD3" w:rsidRDefault="00372DD3" w:rsidP="00372DD3">
      <w:pPr>
        <w:pStyle w:val="ListParagraph"/>
        <w:jc w:val="center"/>
      </w:pPr>
      <w:r>
        <w:rPr>
          <w:noProof/>
        </w:rPr>
        <w:drawing>
          <wp:inline distT="0" distB="0" distL="0" distR="0" wp14:anchorId="2923A157">
            <wp:extent cx="3670012" cy="2475782"/>
            <wp:effectExtent l="0" t="0" r="698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295" cy="2476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2DD3" w:rsidRDefault="00372DD3" w:rsidP="00372DD3">
      <w:pPr>
        <w:pStyle w:val="ListParagraph"/>
      </w:pPr>
      <w:r>
        <w:t>House price shows an increase trend which we might need to remove. (Trend is showed as the blue line as the linear regression result)</w:t>
      </w:r>
    </w:p>
    <w:p w:rsidR="00372DD3" w:rsidRDefault="00372DD3" w:rsidP="00372DD3">
      <w:pPr>
        <w:pStyle w:val="ListParagraph"/>
      </w:pPr>
    </w:p>
    <w:p w:rsidR="00372DD3" w:rsidRDefault="003B3B27" w:rsidP="00372DD3">
      <w:pPr>
        <w:pStyle w:val="ListParagraph"/>
      </w:pPr>
      <w:r>
        <w:t>After de-trend, we can see a good correlation between HPI-</w:t>
      </w:r>
      <w:proofErr w:type="spellStart"/>
      <w:r>
        <w:t>detrend</w:t>
      </w:r>
      <w:proofErr w:type="spellEnd"/>
      <w:r>
        <w:t xml:space="preserve"> and OER.</w:t>
      </w:r>
    </w:p>
    <w:p w:rsidR="003B3B27" w:rsidRDefault="003B3B27" w:rsidP="003B3B27">
      <w:pPr>
        <w:pStyle w:val="ListParagraph"/>
        <w:jc w:val="center"/>
      </w:pPr>
      <w:r>
        <w:rPr>
          <w:noProof/>
        </w:rPr>
        <w:drawing>
          <wp:inline distT="0" distB="0" distL="0" distR="0" wp14:anchorId="6D7625C4">
            <wp:extent cx="4066423" cy="2743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42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3B27" w:rsidRDefault="003B3B27" w:rsidP="00372DD3">
      <w:pPr>
        <w:pStyle w:val="ListParagraph"/>
      </w:pPr>
      <w:r>
        <w:t xml:space="preserve">The HPI curve fit OER well after 2002. Correlation between them is </w:t>
      </w:r>
      <w:r w:rsidRPr="003B3B27">
        <w:t>0.489372</w:t>
      </w:r>
      <w:r>
        <w:t>.</w:t>
      </w:r>
    </w:p>
    <w:p w:rsidR="003B3B27" w:rsidRDefault="003B3B27" w:rsidP="00372DD3">
      <w:pPr>
        <w:pStyle w:val="ListParagraph"/>
      </w:pPr>
    </w:p>
    <w:p w:rsidR="003B3B27" w:rsidRDefault="00331634" w:rsidP="00372DD3">
      <w:pPr>
        <w:pStyle w:val="ListParagraph"/>
      </w:pPr>
      <w:r>
        <w:t xml:space="preserve">The reason behind is </w:t>
      </w:r>
      <w:r w:rsidR="0065716C">
        <w:t>the home owners have to pay/earn more for renting, when house price go down/up.</w:t>
      </w:r>
    </w:p>
    <w:p w:rsidR="003B3B27" w:rsidRDefault="003B3B27" w:rsidP="00372DD3">
      <w:pPr>
        <w:pStyle w:val="ListParagraph"/>
      </w:pPr>
    </w:p>
    <w:p w:rsidR="003B3B27" w:rsidRPr="003B3B27" w:rsidRDefault="003B3B27" w:rsidP="003B3B27">
      <w:pPr>
        <w:pStyle w:val="ListParagraph"/>
        <w:ind w:firstLine="720"/>
        <w:rPr>
          <w:sz w:val="16"/>
          <w:szCs w:val="16"/>
        </w:rPr>
      </w:pPr>
    </w:p>
    <w:sectPr w:rsidR="003B3B27" w:rsidRPr="003B3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5B49" w:rsidRDefault="00045B49" w:rsidP="00AA295E">
      <w:pPr>
        <w:spacing w:after="0" w:line="240" w:lineRule="auto"/>
      </w:pPr>
      <w:r>
        <w:separator/>
      </w:r>
    </w:p>
  </w:endnote>
  <w:endnote w:type="continuationSeparator" w:id="0">
    <w:p w:rsidR="00045B49" w:rsidRDefault="00045B49" w:rsidP="00AA2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5B49" w:rsidRDefault="00045B49" w:rsidP="00AA295E">
      <w:pPr>
        <w:spacing w:after="0" w:line="240" w:lineRule="auto"/>
      </w:pPr>
      <w:r>
        <w:separator/>
      </w:r>
    </w:p>
  </w:footnote>
  <w:footnote w:type="continuationSeparator" w:id="0">
    <w:p w:rsidR="00045B49" w:rsidRDefault="00045B49" w:rsidP="00AA2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643539"/>
    <w:multiLevelType w:val="hybridMultilevel"/>
    <w:tmpl w:val="9014C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5EC"/>
    <w:rsid w:val="00045B49"/>
    <w:rsid w:val="0018085C"/>
    <w:rsid w:val="00251231"/>
    <w:rsid w:val="00331634"/>
    <w:rsid w:val="00372DD3"/>
    <w:rsid w:val="003B3B27"/>
    <w:rsid w:val="004F4D7B"/>
    <w:rsid w:val="00577500"/>
    <w:rsid w:val="005A3898"/>
    <w:rsid w:val="0065716C"/>
    <w:rsid w:val="0066581C"/>
    <w:rsid w:val="006F75EC"/>
    <w:rsid w:val="008B3857"/>
    <w:rsid w:val="0095338C"/>
    <w:rsid w:val="00957334"/>
    <w:rsid w:val="009740B3"/>
    <w:rsid w:val="00AA295E"/>
    <w:rsid w:val="00AD0842"/>
    <w:rsid w:val="00AD5D65"/>
    <w:rsid w:val="00C603A5"/>
    <w:rsid w:val="00CC7C8D"/>
    <w:rsid w:val="00D747F9"/>
    <w:rsid w:val="00E3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7F9"/>
    <w:pPr>
      <w:ind w:left="720"/>
      <w:contextualSpacing/>
    </w:pPr>
  </w:style>
  <w:style w:type="table" w:styleId="LightShading">
    <w:name w:val="Light Shading"/>
    <w:basedOn w:val="TableNormal"/>
    <w:uiPriority w:val="60"/>
    <w:rsid w:val="0018085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80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8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0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95E"/>
  </w:style>
  <w:style w:type="paragraph" w:styleId="Footer">
    <w:name w:val="footer"/>
    <w:basedOn w:val="Normal"/>
    <w:link w:val="Foot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95E"/>
  </w:style>
  <w:style w:type="character" w:styleId="Hyperlink">
    <w:name w:val="Hyperlink"/>
    <w:basedOn w:val="DefaultParagraphFont"/>
    <w:uiPriority w:val="99"/>
    <w:unhideWhenUsed/>
    <w:rsid w:val="00AA295E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C7C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7C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7F9"/>
    <w:pPr>
      <w:ind w:left="720"/>
      <w:contextualSpacing/>
    </w:pPr>
  </w:style>
  <w:style w:type="table" w:styleId="LightShading">
    <w:name w:val="Light Shading"/>
    <w:basedOn w:val="TableNormal"/>
    <w:uiPriority w:val="60"/>
    <w:rsid w:val="0018085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80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8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0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95E"/>
  </w:style>
  <w:style w:type="paragraph" w:styleId="Footer">
    <w:name w:val="footer"/>
    <w:basedOn w:val="Normal"/>
    <w:link w:val="Foot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95E"/>
  </w:style>
  <w:style w:type="character" w:styleId="Hyperlink">
    <w:name w:val="Hyperlink"/>
    <w:basedOn w:val="DefaultParagraphFont"/>
    <w:uiPriority w:val="99"/>
    <w:unhideWhenUsed/>
    <w:rsid w:val="00AA295E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C7C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7C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chart" Target="charts/chart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CelloUni\Chapter%201\Chapter1_Exercise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CelloUni\Chapter%201\Chapter1_Exercise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'GDP Contribution'!$C$18</c:f>
              <c:strCache>
                <c:ptCount val="1"/>
                <c:pt idx="0">
                  <c:v>Gross domestic product</c:v>
                </c:pt>
              </c:strCache>
            </c:strRef>
          </c:tx>
          <c:invertIfNegative val="0"/>
          <c:cat>
            <c:numRef>
              <c:f>'GDP Contribution'!$B$19:$B$35</c:f>
              <c:numCache>
                <c:formatCode>General</c:formatCode>
                <c:ptCount val="17"/>
                <c:pt idx="0">
                  <c:v>1997</c:v>
                </c:pt>
                <c:pt idx="1">
                  <c:v>1998</c:v>
                </c:pt>
                <c:pt idx="2">
                  <c:v>1999</c:v>
                </c:pt>
                <c:pt idx="3">
                  <c:v>2000</c:v>
                </c:pt>
                <c:pt idx="4">
                  <c:v>2001</c:v>
                </c:pt>
                <c:pt idx="5">
                  <c:v>2002</c:v>
                </c:pt>
                <c:pt idx="6">
                  <c:v>2003</c:v>
                </c:pt>
                <c:pt idx="7">
                  <c:v>2004</c:v>
                </c:pt>
                <c:pt idx="8">
                  <c:v>2005</c:v>
                </c:pt>
                <c:pt idx="9">
                  <c:v>2006</c:v>
                </c:pt>
                <c:pt idx="10">
                  <c:v>2007</c:v>
                </c:pt>
                <c:pt idx="11">
                  <c:v>2008</c:v>
                </c:pt>
                <c:pt idx="12">
                  <c:v>2009</c:v>
                </c:pt>
                <c:pt idx="13">
                  <c:v>2010</c:v>
                </c:pt>
                <c:pt idx="14">
                  <c:v>2011</c:v>
                </c:pt>
                <c:pt idx="15">
                  <c:v>2012</c:v>
                </c:pt>
                <c:pt idx="16">
                  <c:v>2013</c:v>
                </c:pt>
              </c:numCache>
            </c:numRef>
          </c:cat>
          <c:val>
            <c:numRef>
              <c:f>'GDP Contribution'!$C$19:$C$35</c:f>
              <c:numCache>
                <c:formatCode>0</c:formatCode>
                <c:ptCount val="17"/>
                <c:pt idx="0">
                  <c:v>8608478</c:v>
                </c:pt>
                <c:pt idx="1">
                  <c:v>9089133</c:v>
                </c:pt>
                <c:pt idx="2">
                  <c:v>9665696</c:v>
                </c:pt>
                <c:pt idx="3">
                  <c:v>10289748</c:v>
                </c:pt>
                <c:pt idx="4">
                  <c:v>10625252</c:v>
                </c:pt>
                <c:pt idx="5">
                  <c:v>10980187</c:v>
                </c:pt>
                <c:pt idx="6">
                  <c:v>11512237</c:v>
                </c:pt>
                <c:pt idx="7">
                  <c:v>12277037</c:v>
                </c:pt>
                <c:pt idx="8">
                  <c:v>13095426</c:v>
                </c:pt>
                <c:pt idx="9">
                  <c:v>13857893</c:v>
                </c:pt>
                <c:pt idx="10">
                  <c:v>14480312</c:v>
                </c:pt>
                <c:pt idx="11">
                  <c:v>14720254</c:v>
                </c:pt>
                <c:pt idx="12">
                  <c:v>14417942</c:v>
                </c:pt>
                <c:pt idx="13">
                  <c:v>14958261</c:v>
                </c:pt>
                <c:pt idx="14">
                  <c:v>15533839</c:v>
                </c:pt>
                <c:pt idx="15">
                  <c:v>16244586</c:v>
                </c:pt>
                <c:pt idx="16">
                  <c:v>16799735</c:v>
                </c:pt>
              </c:numCache>
            </c:numRef>
          </c:val>
        </c:ser>
        <c:ser>
          <c:idx val="1"/>
          <c:order val="1"/>
          <c:tx>
            <c:strRef>
              <c:f>'GDP Contribution'!$D$18</c:f>
              <c:strCache>
                <c:ptCount val="1"/>
                <c:pt idx="0">
                  <c:v>Real estate and rental and leasing</c:v>
                </c:pt>
              </c:strCache>
            </c:strRef>
          </c:tx>
          <c:invertIfNegative val="0"/>
          <c:cat>
            <c:numRef>
              <c:f>'GDP Contribution'!$B$19:$B$35</c:f>
              <c:numCache>
                <c:formatCode>General</c:formatCode>
                <c:ptCount val="17"/>
                <c:pt idx="0">
                  <c:v>1997</c:v>
                </c:pt>
                <c:pt idx="1">
                  <c:v>1998</c:v>
                </c:pt>
                <c:pt idx="2">
                  <c:v>1999</c:v>
                </c:pt>
                <c:pt idx="3">
                  <c:v>2000</c:v>
                </c:pt>
                <c:pt idx="4">
                  <c:v>2001</c:v>
                </c:pt>
                <c:pt idx="5">
                  <c:v>2002</c:v>
                </c:pt>
                <c:pt idx="6">
                  <c:v>2003</c:v>
                </c:pt>
                <c:pt idx="7">
                  <c:v>2004</c:v>
                </c:pt>
                <c:pt idx="8">
                  <c:v>2005</c:v>
                </c:pt>
                <c:pt idx="9">
                  <c:v>2006</c:v>
                </c:pt>
                <c:pt idx="10">
                  <c:v>2007</c:v>
                </c:pt>
                <c:pt idx="11">
                  <c:v>2008</c:v>
                </c:pt>
                <c:pt idx="12">
                  <c:v>2009</c:v>
                </c:pt>
                <c:pt idx="13">
                  <c:v>2010</c:v>
                </c:pt>
                <c:pt idx="14">
                  <c:v>2011</c:v>
                </c:pt>
                <c:pt idx="15">
                  <c:v>2012</c:v>
                </c:pt>
                <c:pt idx="16">
                  <c:v>2013</c:v>
                </c:pt>
              </c:numCache>
            </c:numRef>
          </c:cat>
          <c:val>
            <c:numRef>
              <c:f>'GDP Contribution'!$D$19:$D$35</c:f>
              <c:numCache>
                <c:formatCode>0</c:formatCode>
                <c:ptCount val="17"/>
                <c:pt idx="0">
                  <c:v>1044497</c:v>
                </c:pt>
                <c:pt idx="1">
                  <c:v>1083165</c:v>
                </c:pt>
                <c:pt idx="2">
                  <c:v>1174978</c:v>
                </c:pt>
                <c:pt idx="3">
                  <c:v>1243425</c:v>
                </c:pt>
                <c:pt idx="4">
                  <c:v>1340276</c:v>
                </c:pt>
                <c:pt idx="5">
                  <c:v>1412026</c:v>
                </c:pt>
                <c:pt idx="6">
                  <c:v>1465427</c:v>
                </c:pt>
                <c:pt idx="7">
                  <c:v>1534600</c:v>
                </c:pt>
                <c:pt idx="8">
                  <c:v>1649715</c:v>
                </c:pt>
                <c:pt idx="9">
                  <c:v>1722442</c:v>
                </c:pt>
                <c:pt idx="10">
                  <c:v>1837349</c:v>
                </c:pt>
                <c:pt idx="11">
                  <c:v>1896998</c:v>
                </c:pt>
                <c:pt idx="12">
                  <c:v>1904458</c:v>
                </c:pt>
                <c:pt idx="13">
                  <c:v>1942946</c:v>
                </c:pt>
                <c:pt idx="14">
                  <c:v>2000103</c:v>
                </c:pt>
                <c:pt idx="15">
                  <c:v>2094395</c:v>
                </c:pt>
                <c:pt idx="16">
                  <c:v>2178614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51230336"/>
        <c:axId val="151228800"/>
      </c:barChart>
      <c:lineChart>
        <c:grouping val="standard"/>
        <c:varyColors val="0"/>
        <c:ser>
          <c:idx val="2"/>
          <c:order val="2"/>
          <c:tx>
            <c:strRef>
              <c:f>'GDP Contribution'!$E$18</c:f>
              <c:strCache>
                <c:ptCount val="1"/>
                <c:pt idx="0">
                  <c:v>Percent</c:v>
                </c:pt>
              </c:strCache>
            </c:strRef>
          </c:tx>
          <c:spPr>
            <a:ln w="19050"/>
          </c:spPr>
          <c:marker>
            <c:symbol val="none"/>
          </c:marker>
          <c:cat>
            <c:numRef>
              <c:f>'GDP Contribution'!$B$19:$B$35</c:f>
              <c:numCache>
                <c:formatCode>General</c:formatCode>
                <c:ptCount val="17"/>
                <c:pt idx="0">
                  <c:v>1997</c:v>
                </c:pt>
                <c:pt idx="1">
                  <c:v>1998</c:v>
                </c:pt>
                <c:pt idx="2">
                  <c:v>1999</c:v>
                </c:pt>
                <c:pt idx="3">
                  <c:v>2000</c:v>
                </c:pt>
                <c:pt idx="4">
                  <c:v>2001</c:v>
                </c:pt>
                <c:pt idx="5">
                  <c:v>2002</c:v>
                </c:pt>
                <c:pt idx="6">
                  <c:v>2003</c:v>
                </c:pt>
                <c:pt idx="7">
                  <c:v>2004</c:v>
                </c:pt>
                <c:pt idx="8">
                  <c:v>2005</c:v>
                </c:pt>
                <c:pt idx="9">
                  <c:v>2006</c:v>
                </c:pt>
                <c:pt idx="10">
                  <c:v>2007</c:v>
                </c:pt>
                <c:pt idx="11">
                  <c:v>2008</c:v>
                </c:pt>
                <c:pt idx="12">
                  <c:v>2009</c:v>
                </c:pt>
                <c:pt idx="13">
                  <c:v>2010</c:v>
                </c:pt>
                <c:pt idx="14">
                  <c:v>2011</c:v>
                </c:pt>
                <c:pt idx="15">
                  <c:v>2012</c:v>
                </c:pt>
                <c:pt idx="16">
                  <c:v>2013</c:v>
                </c:pt>
              </c:numCache>
            </c:numRef>
          </c:cat>
          <c:val>
            <c:numRef>
              <c:f>'GDP Contribution'!$E$19:$E$35</c:f>
              <c:numCache>
                <c:formatCode>0.0</c:formatCode>
                <c:ptCount val="17"/>
                <c:pt idx="0">
                  <c:v>12.1</c:v>
                </c:pt>
                <c:pt idx="1">
                  <c:v>11.9</c:v>
                </c:pt>
                <c:pt idx="2">
                  <c:v>12.2</c:v>
                </c:pt>
                <c:pt idx="3">
                  <c:v>12.1</c:v>
                </c:pt>
                <c:pt idx="4">
                  <c:v>12.6</c:v>
                </c:pt>
                <c:pt idx="5">
                  <c:v>12.9</c:v>
                </c:pt>
                <c:pt idx="6">
                  <c:v>12.7</c:v>
                </c:pt>
                <c:pt idx="7">
                  <c:v>12.5</c:v>
                </c:pt>
                <c:pt idx="8">
                  <c:v>12.6</c:v>
                </c:pt>
                <c:pt idx="9">
                  <c:v>12.4</c:v>
                </c:pt>
                <c:pt idx="10">
                  <c:v>12.7</c:v>
                </c:pt>
                <c:pt idx="11">
                  <c:v>12.9</c:v>
                </c:pt>
                <c:pt idx="12">
                  <c:v>13.2</c:v>
                </c:pt>
                <c:pt idx="13">
                  <c:v>13</c:v>
                </c:pt>
                <c:pt idx="14">
                  <c:v>12.9</c:v>
                </c:pt>
                <c:pt idx="15">
                  <c:v>12.9</c:v>
                </c:pt>
                <c:pt idx="16">
                  <c:v>13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225984"/>
        <c:axId val="169261312"/>
      </c:lineChart>
      <c:catAx>
        <c:axId val="1672259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69261312"/>
        <c:crosses val="autoZero"/>
        <c:auto val="1"/>
        <c:lblAlgn val="ctr"/>
        <c:lblOffset val="100"/>
        <c:noMultiLvlLbl val="0"/>
      </c:catAx>
      <c:valAx>
        <c:axId val="169261312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Percentage Contribution</a:t>
                </a:r>
              </a:p>
            </c:rich>
          </c:tx>
          <c:overlay val="0"/>
        </c:title>
        <c:numFmt formatCode="0.0" sourceLinked="1"/>
        <c:majorTickMark val="out"/>
        <c:minorTickMark val="none"/>
        <c:tickLblPos val="nextTo"/>
        <c:crossAx val="167225984"/>
        <c:crosses val="autoZero"/>
        <c:crossBetween val="between"/>
      </c:valAx>
      <c:valAx>
        <c:axId val="151228800"/>
        <c:scaling>
          <c:orientation val="minMax"/>
        </c:scaling>
        <c:delete val="0"/>
        <c:axPos val="r"/>
        <c:numFmt formatCode="0" sourceLinked="1"/>
        <c:majorTickMark val="out"/>
        <c:minorTickMark val="none"/>
        <c:tickLblPos val="nextTo"/>
        <c:crossAx val="151230336"/>
        <c:crosses val="max"/>
        <c:crossBetween val="between"/>
      </c:valAx>
      <c:catAx>
        <c:axId val="151230336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51228800"/>
        <c:crosses val="autoZero"/>
        <c:auto val="1"/>
        <c:lblAlgn val="ctr"/>
        <c:lblOffset val="100"/>
        <c:noMultiLvlLbl val="0"/>
      </c:catAx>
    </c:plotArea>
    <c:legend>
      <c:legendPos val="b"/>
      <c:overlay val="0"/>
      <c:txPr>
        <a:bodyPr/>
        <a:lstStyle/>
        <a:p>
          <a:pPr>
            <a:defRPr sz="800"/>
          </a:pPr>
          <a:endParaRPr lang="en-US"/>
        </a:p>
      </c:txPr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/>
          <a:lstStyle/>
          <a:p>
            <a:pPr>
              <a:defRPr sz="1000"/>
            </a:pPr>
            <a:r>
              <a:rPr lang="en-US" sz="1000"/>
              <a:t>Total Home Equity Cashed Out 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tx>
            <c:strRef>
              <c:f>'Cash-Out Vol Annual'!$G$5</c:f>
              <c:strCache>
                <c:ptCount val="1"/>
                <c:pt idx="0">
                  <c:v>Total Home Equity Cashed Out</c:v>
                </c:pt>
              </c:strCache>
            </c:strRef>
          </c:tx>
          <c:invertIfNegative val="0"/>
          <c:cat>
            <c:strRef>
              <c:f>'Cash-Out Vol Annual'!$B$8:$B$26</c:f>
              <c:strCache>
                <c:ptCount val="19"/>
                <c:pt idx="0">
                  <c:v>1994</c:v>
                </c:pt>
                <c:pt idx="1">
                  <c:v>1995</c:v>
                </c:pt>
                <c:pt idx="2">
                  <c:v>1996</c:v>
                </c:pt>
                <c:pt idx="3">
                  <c:v>1997</c:v>
                </c:pt>
                <c:pt idx="4">
                  <c:v>1998</c:v>
                </c:pt>
                <c:pt idx="5">
                  <c:v>1999</c:v>
                </c:pt>
                <c:pt idx="6">
                  <c:v>2000</c:v>
                </c:pt>
                <c:pt idx="7">
                  <c:v>2001</c:v>
                </c:pt>
                <c:pt idx="8">
                  <c:v>2002</c:v>
                </c:pt>
                <c:pt idx="9">
                  <c:v>2003</c:v>
                </c:pt>
                <c:pt idx="10">
                  <c:v>2004</c:v>
                </c:pt>
                <c:pt idx="11">
                  <c:v>2005</c:v>
                </c:pt>
                <c:pt idx="12">
                  <c:v>2006</c:v>
                </c:pt>
                <c:pt idx="13">
                  <c:v>2007</c:v>
                </c:pt>
                <c:pt idx="14">
                  <c:v>2008</c:v>
                </c:pt>
                <c:pt idx="15">
                  <c:v>2009</c:v>
                </c:pt>
                <c:pt idx="16">
                  <c:v>2010</c:v>
                </c:pt>
                <c:pt idx="17">
                  <c:v>2011</c:v>
                </c:pt>
                <c:pt idx="18">
                  <c:v>2012(E)</c:v>
                </c:pt>
              </c:strCache>
            </c:strRef>
          </c:cat>
          <c:val>
            <c:numRef>
              <c:f>'Cash-Out Vol Annual'!$G$8:$G$26</c:f>
              <c:numCache>
                <c:formatCode>General</c:formatCode>
                <c:ptCount val="19"/>
                <c:pt idx="0">
                  <c:v>13.797246502629998</c:v>
                </c:pt>
                <c:pt idx="1">
                  <c:v>11.183890519468138</c:v>
                </c:pt>
                <c:pt idx="2">
                  <c:v>17.357857615891938</c:v>
                </c:pt>
                <c:pt idx="3">
                  <c:v>21.439854601378219</c:v>
                </c:pt>
                <c:pt idx="4">
                  <c:v>39.909680884277428</c:v>
                </c:pt>
                <c:pt idx="5">
                  <c:v>36.971548129257684</c:v>
                </c:pt>
                <c:pt idx="6">
                  <c:v>26.211696272919784</c:v>
                </c:pt>
                <c:pt idx="7">
                  <c:v>82.882664891595766</c:v>
                </c:pt>
                <c:pt idx="8">
                  <c:v>111.12777762563786</c:v>
                </c:pt>
                <c:pt idx="9">
                  <c:v>147.79250758800001</c:v>
                </c:pt>
                <c:pt idx="10">
                  <c:v>143.17507102499999</c:v>
                </c:pt>
                <c:pt idx="11">
                  <c:v>262.728672163</c:v>
                </c:pt>
                <c:pt idx="12">
                  <c:v>320.49931218</c:v>
                </c:pt>
                <c:pt idx="13">
                  <c:v>239.69720615200001</c:v>
                </c:pt>
                <c:pt idx="14">
                  <c:v>95.679323502000003</c:v>
                </c:pt>
                <c:pt idx="15">
                  <c:v>73.163196682999995</c:v>
                </c:pt>
                <c:pt idx="16">
                  <c:v>33.072477792999997</c:v>
                </c:pt>
                <c:pt idx="17">
                  <c:v>26.828108587999999</c:v>
                </c:pt>
                <c:pt idx="18">
                  <c:v>31.144663434000002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axId val="151252352"/>
        <c:axId val="151307392"/>
      </c:barChart>
      <c:lineChart>
        <c:grouping val="standard"/>
        <c:varyColors val="0"/>
        <c:ser>
          <c:idx val="0"/>
          <c:order val="1"/>
          <c:tx>
            <c:v>Total Cash-Out Dollars as a Percentage</c:v>
          </c:tx>
          <c:spPr>
            <a:ln w="19050"/>
          </c:spPr>
          <c:marker>
            <c:symbol val="none"/>
          </c:marker>
          <c:cat>
            <c:strRef>
              <c:f>'Cash-Out Vol Annual'!$B$8:$B$26</c:f>
              <c:strCache>
                <c:ptCount val="19"/>
                <c:pt idx="0">
                  <c:v>1994</c:v>
                </c:pt>
                <c:pt idx="1">
                  <c:v>1995</c:v>
                </c:pt>
                <c:pt idx="2">
                  <c:v>1996</c:v>
                </c:pt>
                <c:pt idx="3">
                  <c:v>1997</c:v>
                </c:pt>
                <c:pt idx="4">
                  <c:v>1998</c:v>
                </c:pt>
                <c:pt idx="5">
                  <c:v>1999</c:v>
                </c:pt>
                <c:pt idx="6">
                  <c:v>2000</c:v>
                </c:pt>
                <c:pt idx="7">
                  <c:v>2001</c:v>
                </c:pt>
                <c:pt idx="8">
                  <c:v>2002</c:v>
                </c:pt>
                <c:pt idx="9">
                  <c:v>2003</c:v>
                </c:pt>
                <c:pt idx="10">
                  <c:v>2004</c:v>
                </c:pt>
                <c:pt idx="11">
                  <c:v>2005</c:v>
                </c:pt>
                <c:pt idx="12">
                  <c:v>2006</c:v>
                </c:pt>
                <c:pt idx="13">
                  <c:v>2007</c:v>
                </c:pt>
                <c:pt idx="14">
                  <c:v>2008</c:v>
                </c:pt>
                <c:pt idx="15">
                  <c:v>2009</c:v>
                </c:pt>
                <c:pt idx="16">
                  <c:v>2010</c:v>
                </c:pt>
                <c:pt idx="17">
                  <c:v>2011</c:v>
                </c:pt>
                <c:pt idx="18">
                  <c:v>2012(E)</c:v>
                </c:pt>
              </c:strCache>
            </c:strRef>
          </c:cat>
          <c:val>
            <c:numRef>
              <c:f>'Cash-Out Vol Annual'!$D$8:$D$26</c:f>
              <c:numCache>
                <c:formatCode>0.00%</c:formatCode>
                <c:ptCount val="19"/>
                <c:pt idx="0">
                  <c:v>7.1800000000000003E-2</c:v>
                </c:pt>
                <c:pt idx="1">
                  <c:v>7.4499999999999997E-2</c:v>
                </c:pt>
                <c:pt idx="2">
                  <c:v>8.3599999999999994E-2</c:v>
                </c:pt>
                <c:pt idx="3">
                  <c:v>8.5699999999999998E-2</c:v>
                </c:pt>
                <c:pt idx="4">
                  <c:v>6.0699999999999997E-2</c:v>
                </c:pt>
                <c:pt idx="5">
                  <c:v>8.9899999999999994E-2</c:v>
                </c:pt>
                <c:pt idx="6">
                  <c:v>0.11459999999999999</c:v>
                </c:pt>
                <c:pt idx="7">
                  <c:v>8.6900000000000005E-2</c:v>
                </c:pt>
                <c:pt idx="8">
                  <c:v>8.0100000000000005E-2</c:v>
                </c:pt>
                <c:pt idx="9">
                  <c:v>7.2277526999999994E-2</c:v>
                </c:pt>
                <c:pt idx="10">
                  <c:v>0.13020463030000001</c:v>
                </c:pt>
                <c:pt idx="11">
                  <c:v>0.21479345599999999</c:v>
                </c:pt>
                <c:pt idx="12">
                  <c:v>0.2928034437</c:v>
                </c:pt>
                <c:pt idx="13">
                  <c:v>0.26074706069999998</c:v>
                </c:pt>
                <c:pt idx="14">
                  <c:v>0.1752398583</c:v>
                </c:pt>
                <c:pt idx="15">
                  <c:v>8.0293050000000005E-2</c:v>
                </c:pt>
                <c:pt idx="16">
                  <c:v>4.5276735300000003E-2</c:v>
                </c:pt>
                <c:pt idx="17">
                  <c:v>4.01313877E-2</c:v>
                </c:pt>
                <c:pt idx="18">
                  <c:v>2.8068710699999999E-2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1318912"/>
        <c:axId val="151308928"/>
      </c:lineChart>
      <c:catAx>
        <c:axId val="1512523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151307392"/>
        <c:crosses val="autoZero"/>
        <c:auto val="1"/>
        <c:lblAlgn val="ctr"/>
        <c:lblOffset val="100"/>
        <c:noMultiLvlLbl val="0"/>
      </c:catAx>
      <c:valAx>
        <c:axId val="15130739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51252352"/>
        <c:crosses val="autoZero"/>
        <c:crossBetween val="between"/>
      </c:valAx>
      <c:valAx>
        <c:axId val="151308928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crossAx val="151318912"/>
        <c:crosses val="max"/>
        <c:crossBetween val="between"/>
      </c:valAx>
      <c:catAx>
        <c:axId val="151318912"/>
        <c:scaling>
          <c:orientation val="minMax"/>
        </c:scaling>
        <c:delete val="1"/>
        <c:axPos val="b"/>
        <c:majorTickMark val="out"/>
        <c:minorTickMark val="none"/>
        <c:tickLblPos val="nextTo"/>
        <c:crossAx val="151308928"/>
        <c:crosses val="autoZero"/>
        <c:auto val="1"/>
        <c:lblAlgn val="ctr"/>
        <c:lblOffset val="100"/>
        <c:noMultiLvlLbl val="0"/>
      </c:catAx>
    </c:plotArea>
    <c:legend>
      <c:legendPos val="b"/>
      <c:overlay val="0"/>
      <c:txPr>
        <a:bodyPr/>
        <a:lstStyle/>
        <a:p>
          <a:pPr>
            <a:defRPr sz="800"/>
          </a:pPr>
          <a:endParaRPr lang="en-US"/>
        </a:p>
      </c:txPr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557B8-5831-4BBF-86CF-EEFBC8F4C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3</cp:revision>
  <dcterms:created xsi:type="dcterms:W3CDTF">2014-07-17T22:26:00Z</dcterms:created>
  <dcterms:modified xsi:type="dcterms:W3CDTF">2014-07-17T22:27:00Z</dcterms:modified>
</cp:coreProperties>
</file>