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75EC" w:rsidRPr="00957334" w:rsidRDefault="0038152D" w:rsidP="00CC7C8D">
      <w:pPr>
        <w:pStyle w:val="Title"/>
        <w:rPr>
          <w:sz w:val="28"/>
          <w:szCs w:val="28"/>
        </w:rPr>
      </w:pPr>
      <w:r>
        <w:rPr>
          <w:sz w:val="28"/>
          <w:szCs w:val="28"/>
        </w:rPr>
        <w:t>Chapter 2</w:t>
      </w:r>
      <w:r w:rsidR="00D747F9" w:rsidRPr="00957334">
        <w:rPr>
          <w:sz w:val="28"/>
          <w:szCs w:val="28"/>
        </w:rPr>
        <w:t xml:space="preserve"> Exercises</w:t>
      </w:r>
      <w:r w:rsidR="00CC7C8D" w:rsidRPr="00957334">
        <w:rPr>
          <w:sz w:val="28"/>
          <w:szCs w:val="28"/>
        </w:rPr>
        <w:tab/>
      </w:r>
    </w:p>
    <w:p w:rsidR="00D747F9" w:rsidRDefault="009C080D" w:rsidP="00CC7C8D">
      <w:pPr>
        <w:jc w:val="right"/>
      </w:pPr>
      <w:r>
        <w:t>Lien Chen</w:t>
      </w:r>
      <w:r>
        <w:tab/>
        <w:t>July 28</w:t>
      </w:r>
    </w:p>
    <w:p w:rsidR="00D747F9" w:rsidRPr="00B93BED" w:rsidRDefault="009C080D" w:rsidP="00B93BED">
      <w:pPr>
        <w:pStyle w:val="ListParagraph"/>
        <w:numPr>
          <w:ilvl w:val="0"/>
          <w:numId w:val="2"/>
        </w:numPr>
        <w:rPr>
          <w:b/>
        </w:rPr>
      </w:pPr>
      <w:r w:rsidRPr="00B93BED">
        <w:rPr>
          <w:b/>
        </w:rPr>
        <w:t>How has the market share of various mortgage lenders evolved over time? Graph and discuss.</w:t>
      </w:r>
    </w:p>
    <w:p w:rsidR="009C080D" w:rsidRDefault="009C080D" w:rsidP="009C080D">
      <w:pPr>
        <w:pStyle w:val="ListParagraph"/>
      </w:pPr>
    </w:p>
    <w:p w:rsidR="0018085C" w:rsidRDefault="009C080D" w:rsidP="009C080D">
      <w:pPr>
        <w:pStyle w:val="ListParagraph"/>
        <w:jc w:val="center"/>
      </w:pPr>
      <w:r>
        <w:rPr>
          <w:noProof/>
        </w:rPr>
        <w:drawing>
          <wp:inline distT="0" distB="0" distL="0" distR="0" wp14:anchorId="78A07A6B">
            <wp:extent cx="5846087" cy="2475781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449" cy="2478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8085C" w:rsidRDefault="009C080D" w:rsidP="00B93BED">
      <w:pPr>
        <w:pStyle w:val="ListParagraph"/>
      </w:pPr>
      <w:r>
        <w:t xml:space="preserve">Before 1970s, 60% of the market shared was occupied by depository institutions. GSE-backed mortgage pools </w:t>
      </w:r>
      <w:r w:rsidRPr="009C080D">
        <w:t>emerge</w:t>
      </w:r>
      <w:r>
        <w:t>d in 1968, and sharply increased in the following 40 years. GSE pools shared an equal market share, r</w:t>
      </w:r>
      <w:r w:rsidRPr="009C080D">
        <w:t>ough</w:t>
      </w:r>
      <w:r>
        <w:t xml:space="preserve"> 40% </w:t>
      </w:r>
      <w:r w:rsidR="00B93BED">
        <w:t>in the year 1990, and peaked at 50% in 2003. We can also notice that asset-backed securities, included private-label securities, bloomed during 2003 and 2008. After the financial crisis, government-sponsored enterprises take over the major amount of GSE and ABS market.</w:t>
      </w:r>
    </w:p>
    <w:p w:rsidR="00AA295E" w:rsidRDefault="00AA295E" w:rsidP="00AA295E">
      <w:pPr>
        <w:pStyle w:val="Footer"/>
        <w:ind w:left="900" w:hanging="720"/>
        <w:rPr>
          <w:sz w:val="16"/>
          <w:szCs w:val="16"/>
        </w:rPr>
      </w:pPr>
    </w:p>
    <w:p w:rsidR="00AA295E" w:rsidRDefault="00AA295E" w:rsidP="0018085C">
      <w:pPr>
        <w:pStyle w:val="ListParagraph"/>
        <w:jc w:val="center"/>
      </w:pPr>
    </w:p>
    <w:p w:rsidR="00D747F9" w:rsidRDefault="004F4D7B" w:rsidP="00CC7C8D">
      <w:pPr>
        <w:pStyle w:val="ListParagraph"/>
        <w:numPr>
          <w:ilvl w:val="0"/>
          <w:numId w:val="1"/>
        </w:numPr>
        <w:rPr>
          <w:b/>
        </w:rPr>
      </w:pPr>
      <w:r>
        <w:br w:type="page"/>
      </w:r>
    </w:p>
    <w:p w:rsidR="00B93BED" w:rsidRPr="00CC7C8D" w:rsidRDefault="00B93BED" w:rsidP="00B93BED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lastRenderedPageBreak/>
        <w:t xml:space="preserve">Plot the historical spread between the “long-end” and the “short-end” of yield curve. Why </w:t>
      </w:r>
      <w:proofErr w:type="gramStart"/>
      <w:r>
        <w:rPr>
          <w:b/>
        </w:rPr>
        <w:t>is this</w:t>
      </w:r>
      <w:proofErr w:type="gramEnd"/>
      <w:r>
        <w:rPr>
          <w:b/>
        </w:rPr>
        <w:t xml:space="preserve"> spread such an important proxy for the health of the mortgage industry?</w:t>
      </w:r>
    </w:p>
    <w:p w:rsidR="000E1A55" w:rsidRDefault="000E1A55" w:rsidP="000E1A55">
      <w:pPr>
        <w:pStyle w:val="ListParagraph"/>
      </w:pPr>
      <w:r>
        <w:rPr>
          <w:noProof/>
        </w:rPr>
        <w:drawing>
          <wp:inline distT="0" distB="0" distL="0" distR="0" wp14:anchorId="1F0243BF">
            <wp:extent cx="4284412" cy="2122098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19" cy="2125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E1A55" w:rsidRDefault="000E1A55" w:rsidP="004F4D7B">
      <w:pPr>
        <w:pStyle w:val="ListParagraph"/>
      </w:pPr>
      <w:r>
        <w:t>The first chart shows the time series of long end and short end yield curve. Following chart shows the spread between these two curves.</w:t>
      </w:r>
    </w:p>
    <w:p w:rsidR="00AA295E" w:rsidRDefault="000E1A55" w:rsidP="00C603A5">
      <w:pPr>
        <w:pStyle w:val="ListParagraph"/>
      </w:pPr>
      <w:r>
        <w:rPr>
          <w:noProof/>
        </w:rPr>
        <w:drawing>
          <wp:inline distT="0" distB="0" distL="0" distR="0" wp14:anchorId="4372EDBC">
            <wp:extent cx="4751855" cy="23895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281" cy="23957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A295E" w:rsidRDefault="001B6BCD" w:rsidP="00C603A5">
      <w:pPr>
        <w:pStyle w:val="ListParagraph"/>
      </w:pPr>
      <w:r>
        <w:t>For most of the time, long term interest rate is higher than short term rate, which result in a positive spread value. However, w</w:t>
      </w:r>
      <w:r w:rsidR="009A4E2F">
        <w:t xml:space="preserve">e can see the spread goes below zero in the year 2001 and 2007. </w:t>
      </w:r>
      <w:r>
        <w:t xml:space="preserve">Under this situation, margin for the mortgage issuer would </w:t>
      </w:r>
      <w:r w:rsidR="00493522">
        <w:t>disappear</w:t>
      </w:r>
      <w:r>
        <w:t xml:space="preserve">. </w:t>
      </w:r>
    </w:p>
    <w:p w:rsidR="00B93BED" w:rsidRDefault="00B93BED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E3412D" w:rsidRPr="005E5AF9" w:rsidRDefault="005E5AF9" w:rsidP="00E3412D">
      <w:pPr>
        <w:pStyle w:val="ListParagraph"/>
        <w:numPr>
          <w:ilvl w:val="0"/>
          <w:numId w:val="3"/>
        </w:numPr>
        <w:rPr>
          <w:b/>
        </w:rPr>
      </w:pPr>
      <w:r w:rsidRPr="005E5AF9">
        <w:rPr>
          <w:b/>
        </w:rPr>
        <w:lastRenderedPageBreak/>
        <w:t>Obtain a historical time-series on credit losses experienced by residential mortgage. Why are these losses such an important indicator of the health of the mortgage industry?</w:t>
      </w:r>
    </w:p>
    <w:p w:rsidR="00E3412D" w:rsidRDefault="00E3412D" w:rsidP="00E3412D">
      <w:pPr>
        <w:pStyle w:val="ListParagraph"/>
      </w:pPr>
    </w:p>
    <w:p w:rsidR="005E5AF9" w:rsidRDefault="005E5AF9" w:rsidP="00E3412D">
      <w:pPr>
        <w:pStyle w:val="ListParagraph"/>
      </w:pPr>
      <w:r>
        <w:rPr>
          <w:noProof/>
        </w:rPr>
        <w:drawing>
          <wp:inline distT="0" distB="0" distL="0" distR="0" wp14:anchorId="76B306FC">
            <wp:extent cx="4189450" cy="264831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589" cy="2649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740B3" w:rsidRDefault="00622CA1" w:rsidP="00622CA1">
      <w:pPr>
        <w:pStyle w:val="ListParagraph"/>
      </w:pPr>
      <w:r>
        <w:t>The delinquency rate for residential mortgage stays 2% to 3% before 2006. After that, the financial crisis brings a big wave of default to residential market. In the year 2009, the delinquency rate reaches 11.27% and stays high till 2009.</w:t>
      </w:r>
    </w:p>
    <w:p w:rsidR="00622CA1" w:rsidRDefault="00622CA1" w:rsidP="00622CA1">
      <w:pPr>
        <w:pStyle w:val="ListParagraph"/>
      </w:pPr>
    </w:p>
    <w:p w:rsidR="00622CA1" w:rsidRDefault="00622CA1" w:rsidP="00622CA1">
      <w:pPr>
        <w:pStyle w:val="ListParagraph"/>
      </w:pPr>
      <w:r>
        <w:t>High delinquency rate results in high default risk, which brings a direct loss for mortgage lender. Moreover, the default activities would also bring a negative impact to the housing market, which may result in even high default rate.</w:t>
      </w:r>
    </w:p>
    <w:p w:rsidR="00577500" w:rsidRDefault="00577500" w:rsidP="00577500">
      <w:pPr>
        <w:pStyle w:val="ListParagraph"/>
        <w:jc w:val="center"/>
      </w:pPr>
    </w:p>
    <w:p w:rsidR="00AA295E" w:rsidRDefault="00AA295E" w:rsidP="00577500">
      <w:pPr>
        <w:pStyle w:val="ListParagraph"/>
        <w:jc w:val="center"/>
      </w:pPr>
    </w:p>
    <w:p w:rsidR="00AA295E" w:rsidRDefault="00AA295E" w:rsidP="00577500">
      <w:pPr>
        <w:pStyle w:val="ListParagraph"/>
        <w:jc w:val="center"/>
      </w:pPr>
    </w:p>
    <w:p w:rsidR="00AA295E" w:rsidRPr="00AA295E" w:rsidRDefault="00AA295E" w:rsidP="00AA295E">
      <w:pPr>
        <w:ind w:left="720" w:firstLine="720"/>
        <w:rPr>
          <w:rFonts w:ascii="Arial" w:eastAsia="Times New Roman" w:hAnsi="Arial" w:cs="Arial"/>
          <w:color w:val="0000FF"/>
          <w:sz w:val="16"/>
          <w:szCs w:val="16"/>
          <w:u w:val="single"/>
        </w:rPr>
      </w:pPr>
    </w:p>
    <w:p w:rsidR="00AA295E" w:rsidRDefault="00AA295E">
      <w:r>
        <w:br w:type="page"/>
      </w:r>
    </w:p>
    <w:p w:rsidR="00577500" w:rsidRPr="00372DD3" w:rsidRDefault="005E5AF9" w:rsidP="00B93BED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lastRenderedPageBreak/>
        <w:t>Plot the historical changes in house price using the FHFA house price series. (The FHFA has various house price series – identify which one you are using)</w:t>
      </w:r>
    </w:p>
    <w:p w:rsidR="00AA295E" w:rsidRDefault="00AA295E" w:rsidP="00AA295E">
      <w:pPr>
        <w:pStyle w:val="ListParagraph"/>
      </w:pPr>
    </w:p>
    <w:p w:rsidR="00372DD3" w:rsidRDefault="005E5AF9" w:rsidP="00AD5D65">
      <w:pPr>
        <w:pStyle w:val="ListParagraph"/>
      </w:pPr>
      <w:r w:rsidRPr="005E5AF9">
        <w:rPr>
          <w:noProof/>
          <w:sz w:val="12"/>
        </w:rPr>
        <w:drawing>
          <wp:inline distT="0" distB="0" distL="0" distR="0" wp14:anchorId="407BFEFC" wp14:editId="6FF1DB24">
            <wp:extent cx="4623758" cy="2924355"/>
            <wp:effectExtent l="0" t="0" r="24765" b="952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72DD3" w:rsidRDefault="00A14A28" w:rsidP="00A14A28">
      <w:pPr>
        <w:pStyle w:val="ListParagraph"/>
      </w:pPr>
      <w:r>
        <w:t xml:space="preserve">Using the </w:t>
      </w:r>
      <w:r w:rsidRPr="00A14A28">
        <w:t>Purchase-Only Indexes (Estimated using Sales Price Data)</w:t>
      </w:r>
      <w:r>
        <w:t xml:space="preserve"> as the house price change series, we can see a dramatic drop after 2008. According to the percentage change of this series, the decrease started from 2005, first showed a slowdown in increase speed, then drop into negative change rate.</w:t>
      </w:r>
      <w:r w:rsidR="00372DD3">
        <w:br w:type="page"/>
      </w:r>
    </w:p>
    <w:p w:rsidR="00372DD3" w:rsidRPr="00A14A28" w:rsidRDefault="00A14A28" w:rsidP="00372DD3">
      <w:pPr>
        <w:pStyle w:val="ListParagraph"/>
        <w:numPr>
          <w:ilvl w:val="0"/>
          <w:numId w:val="3"/>
        </w:numPr>
        <w:rPr>
          <w:b/>
        </w:rPr>
      </w:pPr>
      <w:bookmarkStart w:id="0" w:name="_GoBack"/>
      <w:r w:rsidRPr="00A14A28">
        <w:rPr>
          <w:b/>
        </w:rPr>
        <w:lastRenderedPageBreak/>
        <w:t>What is counterparty risk and how is it different from credit risk?</w:t>
      </w:r>
    </w:p>
    <w:bookmarkEnd w:id="0"/>
    <w:p w:rsidR="00372DD3" w:rsidRDefault="00372DD3" w:rsidP="00372DD3">
      <w:pPr>
        <w:pStyle w:val="ListParagraph"/>
      </w:pPr>
    </w:p>
    <w:p w:rsidR="00372DD3" w:rsidRDefault="00275F17" w:rsidP="00372DD3">
      <w:pPr>
        <w:pStyle w:val="ListParagraph"/>
      </w:pPr>
      <w:r>
        <w:t>Counterparty risk is t</w:t>
      </w:r>
      <w:r w:rsidRPr="00275F17">
        <w:t xml:space="preserve">he risk to each party of a contract that the counterparty will not live up to its contractual obligations. Counterparty risk </w:t>
      </w:r>
      <w:r>
        <w:t>in Green’s book describes a credit assault default swaps case. Since AIG did not have adequate capital to meet its contract obligation, the contract faced a default situation, and hence brings the counterparty default risk to Goldman Sachs.</w:t>
      </w:r>
    </w:p>
    <w:p w:rsidR="00275F17" w:rsidRDefault="00275F17" w:rsidP="00372DD3">
      <w:pPr>
        <w:pStyle w:val="ListParagraph"/>
      </w:pPr>
    </w:p>
    <w:p w:rsidR="00275F17" w:rsidRDefault="00B541D2" w:rsidP="00372DD3">
      <w:pPr>
        <w:pStyle w:val="ListParagraph"/>
      </w:pPr>
      <w:r>
        <w:t>C</w:t>
      </w:r>
      <w:r>
        <w:t>ounterparty risk and credit risk</w:t>
      </w:r>
      <w:r>
        <w:t xml:space="preserve"> both measure the default risk in mortgage market. The difference between them is counterparty risk describes the risk between a financial contract institutional counterparties. </w:t>
      </w:r>
      <w:proofErr w:type="gramStart"/>
      <w:r>
        <w:t>While  credit</w:t>
      </w:r>
      <w:proofErr w:type="gramEnd"/>
      <w:r>
        <w:t xml:space="preserve"> risk is the risk that mortgage borrower choose to default.</w:t>
      </w:r>
    </w:p>
    <w:p w:rsidR="003B3B27" w:rsidRDefault="003B3B27" w:rsidP="003B3B27">
      <w:pPr>
        <w:pStyle w:val="ListParagraph"/>
        <w:jc w:val="center"/>
      </w:pPr>
    </w:p>
    <w:p w:rsidR="003B3B27" w:rsidRDefault="003B3B27" w:rsidP="00372DD3">
      <w:pPr>
        <w:pStyle w:val="ListParagraph"/>
      </w:pPr>
    </w:p>
    <w:p w:rsidR="00A14A28" w:rsidRDefault="00A14A28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3B3B27" w:rsidRDefault="00A14A28" w:rsidP="00A14A28">
      <w:pPr>
        <w:pStyle w:val="ListParagraph"/>
        <w:numPr>
          <w:ilvl w:val="0"/>
          <w:numId w:val="3"/>
        </w:numPr>
        <w:rPr>
          <w:b/>
        </w:rPr>
      </w:pPr>
      <w:r w:rsidRPr="00A14A28">
        <w:rPr>
          <w:b/>
        </w:rPr>
        <w:lastRenderedPageBreak/>
        <w:t>Plot the historical share of Fannie Mea and Freddie Mac versus the private-label market.</w:t>
      </w:r>
    </w:p>
    <w:p w:rsidR="00A731CE" w:rsidRDefault="001B6BCD" w:rsidP="00A731CE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31934C33" wp14:editId="0BA5A906">
            <wp:extent cx="5943600" cy="2834005"/>
            <wp:effectExtent l="0" t="0" r="19050" b="23495"/>
            <wp:docPr id="15" name="Chart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B541D2" w:rsidRDefault="00B541D2" w:rsidP="00A731CE">
      <w:pPr>
        <w:pStyle w:val="ListParagraph"/>
        <w:rPr>
          <w:b/>
        </w:rPr>
      </w:pPr>
    </w:p>
    <w:p w:rsidR="00B541D2" w:rsidRPr="00A14A28" w:rsidRDefault="00B541D2" w:rsidP="00A731CE">
      <w:pPr>
        <w:pStyle w:val="ListParagraph"/>
        <w:rPr>
          <w:b/>
        </w:rPr>
      </w:pPr>
    </w:p>
    <w:sectPr w:rsidR="00B541D2" w:rsidRPr="00A14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77F5" w:rsidRDefault="00BA77F5" w:rsidP="00AA295E">
      <w:pPr>
        <w:spacing w:after="0" w:line="240" w:lineRule="auto"/>
      </w:pPr>
      <w:r>
        <w:separator/>
      </w:r>
    </w:p>
  </w:endnote>
  <w:endnote w:type="continuationSeparator" w:id="0">
    <w:p w:rsidR="00BA77F5" w:rsidRDefault="00BA77F5" w:rsidP="00AA2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77F5" w:rsidRDefault="00BA77F5" w:rsidP="00AA295E">
      <w:pPr>
        <w:spacing w:after="0" w:line="240" w:lineRule="auto"/>
      </w:pPr>
      <w:r>
        <w:separator/>
      </w:r>
    </w:p>
  </w:footnote>
  <w:footnote w:type="continuationSeparator" w:id="0">
    <w:p w:rsidR="00BA77F5" w:rsidRDefault="00BA77F5" w:rsidP="00AA29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F2937"/>
    <w:multiLevelType w:val="hybridMultilevel"/>
    <w:tmpl w:val="BFFCDA44"/>
    <w:lvl w:ilvl="0" w:tplc="DA22F16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643539"/>
    <w:multiLevelType w:val="hybridMultilevel"/>
    <w:tmpl w:val="9014C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180E87"/>
    <w:multiLevelType w:val="hybridMultilevel"/>
    <w:tmpl w:val="F96C5326"/>
    <w:lvl w:ilvl="0" w:tplc="3A648E3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5EC"/>
    <w:rsid w:val="00045B49"/>
    <w:rsid w:val="000E1A55"/>
    <w:rsid w:val="0018085C"/>
    <w:rsid w:val="001B6BCD"/>
    <w:rsid w:val="00251231"/>
    <w:rsid w:val="00275F17"/>
    <w:rsid w:val="00331634"/>
    <w:rsid w:val="00372DD3"/>
    <w:rsid w:val="0038152D"/>
    <w:rsid w:val="003B3B27"/>
    <w:rsid w:val="00493522"/>
    <w:rsid w:val="004F4D7B"/>
    <w:rsid w:val="005630DC"/>
    <w:rsid w:val="00577500"/>
    <w:rsid w:val="005A3898"/>
    <w:rsid w:val="005E5AF9"/>
    <w:rsid w:val="00622CA1"/>
    <w:rsid w:val="0065716C"/>
    <w:rsid w:val="0066581C"/>
    <w:rsid w:val="006F75EC"/>
    <w:rsid w:val="008B3857"/>
    <w:rsid w:val="0095338C"/>
    <w:rsid w:val="00957334"/>
    <w:rsid w:val="009740B3"/>
    <w:rsid w:val="009A4E2F"/>
    <w:rsid w:val="009C080D"/>
    <w:rsid w:val="00A14A28"/>
    <w:rsid w:val="00A731CE"/>
    <w:rsid w:val="00AA295E"/>
    <w:rsid w:val="00AD0842"/>
    <w:rsid w:val="00AD5D65"/>
    <w:rsid w:val="00B541D2"/>
    <w:rsid w:val="00B93BED"/>
    <w:rsid w:val="00BA77F5"/>
    <w:rsid w:val="00C603A5"/>
    <w:rsid w:val="00CC7C8D"/>
    <w:rsid w:val="00D747F9"/>
    <w:rsid w:val="00E3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7F9"/>
    <w:pPr>
      <w:ind w:left="720"/>
      <w:contextualSpacing/>
    </w:pPr>
  </w:style>
  <w:style w:type="table" w:styleId="LightShading">
    <w:name w:val="Light Shading"/>
    <w:basedOn w:val="TableNormal"/>
    <w:uiPriority w:val="60"/>
    <w:rsid w:val="0018085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808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85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60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2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95E"/>
  </w:style>
  <w:style w:type="paragraph" w:styleId="Footer">
    <w:name w:val="footer"/>
    <w:basedOn w:val="Normal"/>
    <w:link w:val="FooterChar"/>
    <w:uiPriority w:val="99"/>
    <w:unhideWhenUsed/>
    <w:rsid w:val="00AA2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95E"/>
  </w:style>
  <w:style w:type="character" w:styleId="Hyperlink">
    <w:name w:val="Hyperlink"/>
    <w:basedOn w:val="DefaultParagraphFont"/>
    <w:uiPriority w:val="99"/>
    <w:unhideWhenUsed/>
    <w:rsid w:val="00AA295E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CC7C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C7C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7F9"/>
    <w:pPr>
      <w:ind w:left="720"/>
      <w:contextualSpacing/>
    </w:pPr>
  </w:style>
  <w:style w:type="table" w:styleId="LightShading">
    <w:name w:val="Light Shading"/>
    <w:basedOn w:val="TableNormal"/>
    <w:uiPriority w:val="60"/>
    <w:rsid w:val="0018085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808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85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60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2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95E"/>
  </w:style>
  <w:style w:type="paragraph" w:styleId="Footer">
    <w:name w:val="footer"/>
    <w:basedOn w:val="Normal"/>
    <w:link w:val="FooterChar"/>
    <w:uiPriority w:val="99"/>
    <w:unhideWhenUsed/>
    <w:rsid w:val="00AA2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95E"/>
  </w:style>
  <w:style w:type="character" w:styleId="Hyperlink">
    <w:name w:val="Hyperlink"/>
    <w:basedOn w:val="DefaultParagraphFont"/>
    <w:uiPriority w:val="99"/>
    <w:unhideWhenUsed/>
    <w:rsid w:val="00AA295E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CC7C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C7C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0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CelloUni\Chapter%202\Q3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CelloUni\Chapter%202\Q3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'Q5 FHFA HPI'!$C$4</c:f>
              <c:strCache>
                <c:ptCount val="1"/>
                <c:pt idx="0">
                  <c:v>Seasonally-Adjusted Purchase-Only Index 
(1991Q1=100)</c:v>
                </c:pt>
              </c:strCache>
            </c:strRef>
          </c:tx>
          <c:marker>
            <c:symbol val="none"/>
          </c:marker>
          <c:cat>
            <c:numRef>
              <c:f>'Q5 FHFA HPI'!$A$5:$A$97</c:f>
              <c:numCache>
                <c:formatCode>General</c:formatCode>
                <c:ptCount val="93"/>
                <c:pt idx="0">
                  <c:v>1991</c:v>
                </c:pt>
                <c:pt idx="1">
                  <c:v>1991</c:v>
                </c:pt>
                <c:pt idx="2">
                  <c:v>1991</c:v>
                </c:pt>
                <c:pt idx="3">
                  <c:v>1991</c:v>
                </c:pt>
                <c:pt idx="4">
                  <c:v>1992</c:v>
                </c:pt>
                <c:pt idx="5">
                  <c:v>1992</c:v>
                </c:pt>
                <c:pt idx="6">
                  <c:v>1992</c:v>
                </c:pt>
                <c:pt idx="7">
                  <c:v>1992</c:v>
                </c:pt>
                <c:pt idx="8">
                  <c:v>1993</c:v>
                </c:pt>
                <c:pt idx="9">
                  <c:v>1993</c:v>
                </c:pt>
                <c:pt idx="10">
                  <c:v>1993</c:v>
                </c:pt>
                <c:pt idx="11">
                  <c:v>1993</c:v>
                </c:pt>
                <c:pt idx="12">
                  <c:v>1994</c:v>
                </c:pt>
                <c:pt idx="13">
                  <c:v>1994</c:v>
                </c:pt>
                <c:pt idx="14">
                  <c:v>1994</c:v>
                </c:pt>
                <c:pt idx="15">
                  <c:v>1994</c:v>
                </c:pt>
                <c:pt idx="16">
                  <c:v>1995</c:v>
                </c:pt>
                <c:pt idx="17">
                  <c:v>1995</c:v>
                </c:pt>
                <c:pt idx="18">
                  <c:v>1995</c:v>
                </c:pt>
                <c:pt idx="19">
                  <c:v>1995</c:v>
                </c:pt>
                <c:pt idx="20">
                  <c:v>1996</c:v>
                </c:pt>
                <c:pt idx="21">
                  <c:v>1996</c:v>
                </c:pt>
                <c:pt idx="22">
                  <c:v>1996</c:v>
                </c:pt>
                <c:pt idx="23">
                  <c:v>1996</c:v>
                </c:pt>
                <c:pt idx="24">
                  <c:v>1997</c:v>
                </c:pt>
                <c:pt idx="25">
                  <c:v>1997</c:v>
                </c:pt>
                <c:pt idx="26">
                  <c:v>1997</c:v>
                </c:pt>
                <c:pt idx="27">
                  <c:v>1997</c:v>
                </c:pt>
                <c:pt idx="28">
                  <c:v>1998</c:v>
                </c:pt>
                <c:pt idx="29">
                  <c:v>1998</c:v>
                </c:pt>
                <c:pt idx="30">
                  <c:v>1998</c:v>
                </c:pt>
                <c:pt idx="31">
                  <c:v>1998</c:v>
                </c:pt>
                <c:pt idx="32">
                  <c:v>1999</c:v>
                </c:pt>
                <c:pt idx="33">
                  <c:v>1999</c:v>
                </c:pt>
                <c:pt idx="34">
                  <c:v>1999</c:v>
                </c:pt>
                <c:pt idx="35">
                  <c:v>1999</c:v>
                </c:pt>
                <c:pt idx="36">
                  <c:v>2000</c:v>
                </c:pt>
                <c:pt idx="37">
                  <c:v>2000</c:v>
                </c:pt>
                <c:pt idx="38">
                  <c:v>2000</c:v>
                </c:pt>
                <c:pt idx="39">
                  <c:v>2000</c:v>
                </c:pt>
                <c:pt idx="40">
                  <c:v>2001</c:v>
                </c:pt>
                <c:pt idx="41">
                  <c:v>2001</c:v>
                </c:pt>
                <c:pt idx="42">
                  <c:v>2001</c:v>
                </c:pt>
                <c:pt idx="43">
                  <c:v>2001</c:v>
                </c:pt>
                <c:pt idx="44">
                  <c:v>2002</c:v>
                </c:pt>
                <c:pt idx="45">
                  <c:v>2002</c:v>
                </c:pt>
                <c:pt idx="46">
                  <c:v>2002</c:v>
                </c:pt>
                <c:pt idx="47">
                  <c:v>2002</c:v>
                </c:pt>
                <c:pt idx="48">
                  <c:v>2003</c:v>
                </c:pt>
                <c:pt idx="49">
                  <c:v>2003</c:v>
                </c:pt>
                <c:pt idx="50">
                  <c:v>2003</c:v>
                </c:pt>
                <c:pt idx="51">
                  <c:v>2003</c:v>
                </c:pt>
                <c:pt idx="52">
                  <c:v>2004</c:v>
                </c:pt>
                <c:pt idx="53">
                  <c:v>2004</c:v>
                </c:pt>
                <c:pt idx="54">
                  <c:v>2004</c:v>
                </c:pt>
                <c:pt idx="55">
                  <c:v>2004</c:v>
                </c:pt>
                <c:pt idx="56">
                  <c:v>2005</c:v>
                </c:pt>
                <c:pt idx="57">
                  <c:v>2005</c:v>
                </c:pt>
                <c:pt idx="58">
                  <c:v>2005</c:v>
                </c:pt>
                <c:pt idx="59">
                  <c:v>2005</c:v>
                </c:pt>
                <c:pt idx="60">
                  <c:v>2006</c:v>
                </c:pt>
                <c:pt idx="61">
                  <c:v>2006</c:v>
                </c:pt>
                <c:pt idx="62">
                  <c:v>2006</c:v>
                </c:pt>
                <c:pt idx="63">
                  <c:v>2006</c:v>
                </c:pt>
                <c:pt idx="64">
                  <c:v>2007</c:v>
                </c:pt>
                <c:pt idx="65">
                  <c:v>2007</c:v>
                </c:pt>
                <c:pt idx="66">
                  <c:v>2007</c:v>
                </c:pt>
                <c:pt idx="67">
                  <c:v>2007</c:v>
                </c:pt>
                <c:pt idx="68">
                  <c:v>2008</c:v>
                </c:pt>
                <c:pt idx="69">
                  <c:v>2008</c:v>
                </c:pt>
                <c:pt idx="70">
                  <c:v>2008</c:v>
                </c:pt>
                <c:pt idx="71">
                  <c:v>2008</c:v>
                </c:pt>
                <c:pt idx="72">
                  <c:v>2009</c:v>
                </c:pt>
                <c:pt idx="73">
                  <c:v>2009</c:v>
                </c:pt>
                <c:pt idx="74">
                  <c:v>2009</c:v>
                </c:pt>
                <c:pt idx="75">
                  <c:v>2009</c:v>
                </c:pt>
                <c:pt idx="76">
                  <c:v>2010</c:v>
                </c:pt>
                <c:pt idx="77">
                  <c:v>2010</c:v>
                </c:pt>
                <c:pt idx="78">
                  <c:v>2010</c:v>
                </c:pt>
                <c:pt idx="79">
                  <c:v>2010</c:v>
                </c:pt>
                <c:pt idx="80">
                  <c:v>2011</c:v>
                </c:pt>
                <c:pt idx="81">
                  <c:v>2011</c:v>
                </c:pt>
                <c:pt idx="82">
                  <c:v>2011</c:v>
                </c:pt>
                <c:pt idx="83">
                  <c:v>2011</c:v>
                </c:pt>
                <c:pt idx="84">
                  <c:v>2012</c:v>
                </c:pt>
                <c:pt idx="85">
                  <c:v>2012</c:v>
                </c:pt>
                <c:pt idx="86">
                  <c:v>2012</c:v>
                </c:pt>
                <c:pt idx="87">
                  <c:v>2012</c:v>
                </c:pt>
                <c:pt idx="88">
                  <c:v>2013</c:v>
                </c:pt>
                <c:pt idx="89">
                  <c:v>2013</c:v>
                </c:pt>
                <c:pt idx="90">
                  <c:v>2013</c:v>
                </c:pt>
                <c:pt idx="91">
                  <c:v>2013</c:v>
                </c:pt>
                <c:pt idx="92">
                  <c:v>2014</c:v>
                </c:pt>
              </c:numCache>
            </c:numRef>
          </c:cat>
          <c:val>
            <c:numRef>
              <c:f>'Q5 FHFA HPI'!$C$5:$C$97</c:f>
              <c:numCache>
                <c:formatCode>General</c:formatCode>
                <c:ptCount val="93"/>
                <c:pt idx="0">
                  <c:v>100</c:v>
                </c:pt>
                <c:pt idx="1">
                  <c:v>100.02</c:v>
                </c:pt>
                <c:pt idx="2">
                  <c:v>100.19</c:v>
                </c:pt>
                <c:pt idx="3">
                  <c:v>101.08</c:v>
                </c:pt>
                <c:pt idx="4">
                  <c:v>102.3</c:v>
                </c:pt>
                <c:pt idx="5">
                  <c:v>102.19</c:v>
                </c:pt>
                <c:pt idx="6">
                  <c:v>103.06</c:v>
                </c:pt>
                <c:pt idx="7">
                  <c:v>103.89</c:v>
                </c:pt>
                <c:pt idx="8">
                  <c:v>103.92</c:v>
                </c:pt>
                <c:pt idx="9">
                  <c:v>104.98</c:v>
                </c:pt>
                <c:pt idx="10">
                  <c:v>105.76</c:v>
                </c:pt>
                <c:pt idx="11">
                  <c:v>106.77</c:v>
                </c:pt>
                <c:pt idx="12">
                  <c:v>107.75</c:v>
                </c:pt>
                <c:pt idx="13">
                  <c:v>108.66</c:v>
                </c:pt>
                <c:pt idx="14">
                  <c:v>109.35</c:v>
                </c:pt>
                <c:pt idx="15">
                  <c:v>109.92</c:v>
                </c:pt>
                <c:pt idx="16">
                  <c:v>110.62</c:v>
                </c:pt>
                <c:pt idx="17">
                  <c:v>111.21</c:v>
                </c:pt>
                <c:pt idx="18">
                  <c:v>112.23</c:v>
                </c:pt>
                <c:pt idx="19">
                  <c:v>112.9</c:v>
                </c:pt>
                <c:pt idx="20">
                  <c:v>113.91</c:v>
                </c:pt>
                <c:pt idx="21">
                  <c:v>114.69</c:v>
                </c:pt>
                <c:pt idx="22">
                  <c:v>115.45</c:v>
                </c:pt>
                <c:pt idx="23">
                  <c:v>116.11</c:v>
                </c:pt>
                <c:pt idx="24">
                  <c:v>116.84</c:v>
                </c:pt>
                <c:pt idx="25">
                  <c:v>117.84</c:v>
                </c:pt>
                <c:pt idx="26">
                  <c:v>118.71</c:v>
                </c:pt>
                <c:pt idx="27">
                  <c:v>119.99</c:v>
                </c:pt>
                <c:pt idx="28">
                  <c:v>121.47</c:v>
                </c:pt>
                <c:pt idx="29">
                  <c:v>123.17</c:v>
                </c:pt>
                <c:pt idx="30">
                  <c:v>124.79</c:v>
                </c:pt>
                <c:pt idx="31">
                  <c:v>126.83</c:v>
                </c:pt>
                <c:pt idx="32">
                  <c:v>128.69999999999999</c:v>
                </c:pt>
                <c:pt idx="33">
                  <c:v>130.63</c:v>
                </c:pt>
                <c:pt idx="34">
                  <c:v>132.66</c:v>
                </c:pt>
                <c:pt idx="35">
                  <c:v>134.71</c:v>
                </c:pt>
                <c:pt idx="36">
                  <c:v>137.05000000000001</c:v>
                </c:pt>
                <c:pt idx="37">
                  <c:v>139.38999999999999</c:v>
                </c:pt>
                <c:pt idx="38">
                  <c:v>141.63</c:v>
                </c:pt>
                <c:pt idx="39">
                  <c:v>144.11000000000001</c:v>
                </c:pt>
                <c:pt idx="40">
                  <c:v>146.79</c:v>
                </c:pt>
                <c:pt idx="41">
                  <c:v>149.13999999999999</c:v>
                </c:pt>
                <c:pt idx="42">
                  <c:v>151.46</c:v>
                </c:pt>
                <c:pt idx="43">
                  <c:v>153.82</c:v>
                </c:pt>
                <c:pt idx="44">
                  <c:v>156.43</c:v>
                </c:pt>
                <c:pt idx="45">
                  <c:v>159.32</c:v>
                </c:pt>
                <c:pt idx="46">
                  <c:v>162.38</c:v>
                </c:pt>
                <c:pt idx="47">
                  <c:v>165.64</c:v>
                </c:pt>
                <c:pt idx="48">
                  <c:v>168.57</c:v>
                </c:pt>
                <c:pt idx="49">
                  <c:v>171.31</c:v>
                </c:pt>
                <c:pt idx="50">
                  <c:v>174.69</c:v>
                </c:pt>
                <c:pt idx="51">
                  <c:v>178.66</c:v>
                </c:pt>
                <c:pt idx="52">
                  <c:v>182.67</c:v>
                </c:pt>
                <c:pt idx="53">
                  <c:v>187.24</c:v>
                </c:pt>
                <c:pt idx="54">
                  <c:v>192.12</c:v>
                </c:pt>
                <c:pt idx="55">
                  <c:v>196.87</c:v>
                </c:pt>
                <c:pt idx="56">
                  <c:v>201.73</c:v>
                </c:pt>
                <c:pt idx="57">
                  <c:v>207.03</c:v>
                </c:pt>
                <c:pt idx="58">
                  <c:v>212.45</c:v>
                </c:pt>
                <c:pt idx="59">
                  <c:v>217.03</c:v>
                </c:pt>
                <c:pt idx="60">
                  <c:v>220.34</c:v>
                </c:pt>
                <c:pt idx="61">
                  <c:v>221.95</c:v>
                </c:pt>
                <c:pt idx="62">
                  <c:v>222.47</c:v>
                </c:pt>
                <c:pt idx="63">
                  <c:v>223.75</c:v>
                </c:pt>
                <c:pt idx="64">
                  <c:v>225.12</c:v>
                </c:pt>
                <c:pt idx="65">
                  <c:v>224.62</c:v>
                </c:pt>
                <c:pt idx="66">
                  <c:v>221.94</c:v>
                </c:pt>
                <c:pt idx="67">
                  <c:v>218.25</c:v>
                </c:pt>
                <c:pt idx="68">
                  <c:v>213.32</c:v>
                </c:pt>
                <c:pt idx="69">
                  <c:v>207.52</c:v>
                </c:pt>
                <c:pt idx="70">
                  <c:v>202.55</c:v>
                </c:pt>
                <c:pt idx="71">
                  <c:v>196.68</c:v>
                </c:pt>
                <c:pt idx="72">
                  <c:v>196.06</c:v>
                </c:pt>
                <c:pt idx="73">
                  <c:v>193.17</c:v>
                </c:pt>
                <c:pt idx="74">
                  <c:v>192.22</c:v>
                </c:pt>
                <c:pt idx="75">
                  <c:v>192.25</c:v>
                </c:pt>
                <c:pt idx="76">
                  <c:v>190.26</c:v>
                </c:pt>
                <c:pt idx="77">
                  <c:v>189.39</c:v>
                </c:pt>
                <c:pt idx="78">
                  <c:v>186.12</c:v>
                </c:pt>
                <c:pt idx="79">
                  <c:v>184.41</c:v>
                </c:pt>
                <c:pt idx="80">
                  <c:v>180.29</c:v>
                </c:pt>
                <c:pt idx="81">
                  <c:v>178.88</c:v>
                </c:pt>
                <c:pt idx="82">
                  <c:v>179.71</c:v>
                </c:pt>
                <c:pt idx="83">
                  <c:v>180.2</c:v>
                </c:pt>
                <c:pt idx="84">
                  <c:v>181.55</c:v>
                </c:pt>
                <c:pt idx="85">
                  <c:v>184.83</c:v>
                </c:pt>
                <c:pt idx="86">
                  <c:v>186.8</c:v>
                </c:pt>
                <c:pt idx="87">
                  <c:v>190.16</c:v>
                </c:pt>
                <c:pt idx="88">
                  <c:v>194.45</c:v>
                </c:pt>
                <c:pt idx="89">
                  <c:v>198.73</c:v>
                </c:pt>
                <c:pt idx="90">
                  <c:v>202.33</c:v>
                </c:pt>
                <c:pt idx="91">
                  <c:v>204.7</c:v>
                </c:pt>
                <c:pt idx="92">
                  <c:v>207.33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5510784"/>
        <c:axId val="125512320"/>
      </c:lineChart>
      <c:lineChart>
        <c:grouping val="standard"/>
        <c:varyColors val="0"/>
        <c:ser>
          <c:idx val="1"/>
          <c:order val="1"/>
          <c:tx>
            <c:strRef>
              <c:f>'Q5 FHFA HPI'!$D$4</c:f>
              <c:strCache>
                <c:ptCount val="1"/>
                <c:pt idx="0">
                  <c:v>Seasonally-Adjusted Purchase-Only Index
% Change Over 
Previous 4 Quarters</c:v>
                </c:pt>
              </c:strCache>
            </c:strRef>
          </c:tx>
          <c:marker>
            <c:symbol val="none"/>
          </c:marker>
          <c:cat>
            <c:multiLvlStrRef>
              <c:f>'Q5 FHFA HPI'!$A$5:$B$97</c:f>
              <c:multiLvlStrCache>
                <c:ptCount val="93"/>
                <c:lvl>
                  <c:pt idx="0">
                    <c:v>1</c:v>
                  </c:pt>
                  <c:pt idx="1">
                    <c:v>2</c:v>
                  </c:pt>
                  <c:pt idx="2">
                    <c:v>3</c:v>
                  </c:pt>
                  <c:pt idx="3">
                    <c:v>4</c:v>
                  </c:pt>
                  <c:pt idx="4">
                    <c:v>1</c:v>
                  </c:pt>
                  <c:pt idx="5">
                    <c:v>2</c:v>
                  </c:pt>
                  <c:pt idx="6">
                    <c:v>3</c:v>
                  </c:pt>
                  <c:pt idx="7">
                    <c:v>4</c:v>
                  </c:pt>
                  <c:pt idx="8">
                    <c:v>1</c:v>
                  </c:pt>
                  <c:pt idx="9">
                    <c:v>2</c:v>
                  </c:pt>
                  <c:pt idx="10">
                    <c:v>3</c:v>
                  </c:pt>
                  <c:pt idx="11">
                    <c:v>4</c:v>
                  </c:pt>
                  <c:pt idx="12">
                    <c:v>1</c:v>
                  </c:pt>
                  <c:pt idx="13">
                    <c:v>2</c:v>
                  </c:pt>
                  <c:pt idx="14">
                    <c:v>3</c:v>
                  </c:pt>
                  <c:pt idx="15">
                    <c:v>4</c:v>
                  </c:pt>
                  <c:pt idx="16">
                    <c:v>1</c:v>
                  </c:pt>
                  <c:pt idx="17">
                    <c:v>2</c:v>
                  </c:pt>
                  <c:pt idx="18">
                    <c:v>3</c:v>
                  </c:pt>
                  <c:pt idx="19">
                    <c:v>4</c:v>
                  </c:pt>
                  <c:pt idx="20">
                    <c:v>1</c:v>
                  </c:pt>
                  <c:pt idx="21">
                    <c:v>2</c:v>
                  </c:pt>
                  <c:pt idx="22">
                    <c:v>3</c:v>
                  </c:pt>
                  <c:pt idx="23">
                    <c:v>4</c:v>
                  </c:pt>
                  <c:pt idx="24">
                    <c:v>1</c:v>
                  </c:pt>
                  <c:pt idx="25">
                    <c:v>2</c:v>
                  </c:pt>
                  <c:pt idx="26">
                    <c:v>3</c:v>
                  </c:pt>
                  <c:pt idx="27">
                    <c:v>4</c:v>
                  </c:pt>
                  <c:pt idx="28">
                    <c:v>1</c:v>
                  </c:pt>
                  <c:pt idx="29">
                    <c:v>2</c:v>
                  </c:pt>
                  <c:pt idx="30">
                    <c:v>3</c:v>
                  </c:pt>
                  <c:pt idx="31">
                    <c:v>4</c:v>
                  </c:pt>
                  <c:pt idx="32">
                    <c:v>1</c:v>
                  </c:pt>
                  <c:pt idx="33">
                    <c:v>2</c:v>
                  </c:pt>
                  <c:pt idx="34">
                    <c:v>3</c:v>
                  </c:pt>
                  <c:pt idx="35">
                    <c:v>4</c:v>
                  </c:pt>
                  <c:pt idx="36">
                    <c:v>1</c:v>
                  </c:pt>
                  <c:pt idx="37">
                    <c:v>2</c:v>
                  </c:pt>
                  <c:pt idx="38">
                    <c:v>3</c:v>
                  </c:pt>
                  <c:pt idx="39">
                    <c:v>4</c:v>
                  </c:pt>
                  <c:pt idx="40">
                    <c:v>1</c:v>
                  </c:pt>
                  <c:pt idx="41">
                    <c:v>2</c:v>
                  </c:pt>
                  <c:pt idx="42">
                    <c:v>3</c:v>
                  </c:pt>
                  <c:pt idx="43">
                    <c:v>4</c:v>
                  </c:pt>
                  <c:pt idx="44">
                    <c:v>1</c:v>
                  </c:pt>
                  <c:pt idx="45">
                    <c:v>2</c:v>
                  </c:pt>
                  <c:pt idx="46">
                    <c:v>3</c:v>
                  </c:pt>
                  <c:pt idx="47">
                    <c:v>4</c:v>
                  </c:pt>
                  <c:pt idx="48">
                    <c:v>1</c:v>
                  </c:pt>
                  <c:pt idx="49">
                    <c:v>2</c:v>
                  </c:pt>
                  <c:pt idx="50">
                    <c:v>3</c:v>
                  </c:pt>
                  <c:pt idx="51">
                    <c:v>4</c:v>
                  </c:pt>
                  <c:pt idx="52">
                    <c:v>1</c:v>
                  </c:pt>
                  <c:pt idx="53">
                    <c:v>2</c:v>
                  </c:pt>
                  <c:pt idx="54">
                    <c:v>3</c:v>
                  </c:pt>
                  <c:pt idx="55">
                    <c:v>4</c:v>
                  </c:pt>
                  <c:pt idx="56">
                    <c:v>1</c:v>
                  </c:pt>
                  <c:pt idx="57">
                    <c:v>2</c:v>
                  </c:pt>
                  <c:pt idx="58">
                    <c:v>3</c:v>
                  </c:pt>
                  <c:pt idx="59">
                    <c:v>4</c:v>
                  </c:pt>
                  <c:pt idx="60">
                    <c:v>1</c:v>
                  </c:pt>
                  <c:pt idx="61">
                    <c:v>2</c:v>
                  </c:pt>
                  <c:pt idx="62">
                    <c:v>3</c:v>
                  </c:pt>
                  <c:pt idx="63">
                    <c:v>4</c:v>
                  </c:pt>
                  <c:pt idx="64">
                    <c:v>1</c:v>
                  </c:pt>
                  <c:pt idx="65">
                    <c:v>2</c:v>
                  </c:pt>
                  <c:pt idx="66">
                    <c:v>3</c:v>
                  </c:pt>
                  <c:pt idx="67">
                    <c:v>4</c:v>
                  </c:pt>
                  <c:pt idx="68">
                    <c:v>1</c:v>
                  </c:pt>
                  <c:pt idx="69">
                    <c:v>2</c:v>
                  </c:pt>
                  <c:pt idx="70">
                    <c:v>3</c:v>
                  </c:pt>
                  <c:pt idx="71">
                    <c:v>4</c:v>
                  </c:pt>
                  <c:pt idx="72">
                    <c:v>1</c:v>
                  </c:pt>
                  <c:pt idx="73">
                    <c:v>2</c:v>
                  </c:pt>
                  <c:pt idx="74">
                    <c:v>3</c:v>
                  </c:pt>
                  <c:pt idx="75">
                    <c:v>4</c:v>
                  </c:pt>
                  <c:pt idx="76">
                    <c:v>1</c:v>
                  </c:pt>
                  <c:pt idx="77">
                    <c:v>2</c:v>
                  </c:pt>
                  <c:pt idx="78">
                    <c:v>3</c:v>
                  </c:pt>
                  <c:pt idx="79">
                    <c:v>4</c:v>
                  </c:pt>
                  <c:pt idx="80">
                    <c:v>1</c:v>
                  </c:pt>
                  <c:pt idx="81">
                    <c:v>2</c:v>
                  </c:pt>
                  <c:pt idx="82">
                    <c:v>3</c:v>
                  </c:pt>
                  <c:pt idx="83">
                    <c:v>4</c:v>
                  </c:pt>
                  <c:pt idx="84">
                    <c:v>1</c:v>
                  </c:pt>
                  <c:pt idx="85">
                    <c:v>2</c:v>
                  </c:pt>
                  <c:pt idx="86">
                    <c:v>3</c:v>
                  </c:pt>
                  <c:pt idx="87">
                    <c:v>4</c:v>
                  </c:pt>
                  <c:pt idx="88">
                    <c:v>1</c:v>
                  </c:pt>
                  <c:pt idx="89">
                    <c:v>2</c:v>
                  </c:pt>
                  <c:pt idx="90">
                    <c:v>3</c:v>
                  </c:pt>
                  <c:pt idx="91">
                    <c:v>4</c:v>
                  </c:pt>
                  <c:pt idx="92">
                    <c:v>1</c:v>
                  </c:pt>
                </c:lvl>
                <c:lvl>
                  <c:pt idx="0">
                    <c:v>1991</c:v>
                  </c:pt>
                  <c:pt idx="1">
                    <c:v>1991</c:v>
                  </c:pt>
                  <c:pt idx="2">
                    <c:v>1991</c:v>
                  </c:pt>
                  <c:pt idx="3">
                    <c:v>1991</c:v>
                  </c:pt>
                  <c:pt idx="4">
                    <c:v>1992</c:v>
                  </c:pt>
                  <c:pt idx="5">
                    <c:v>1992</c:v>
                  </c:pt>
                  <c:pt idx="6">
                    <c:v>1992</c:v>
                  </c:pt>
                  <c:pt idx="7">
                    <c:v>1992</c:v>
                  </c:pt>
                  <c:pt idx="8">
                    <c:v>1993</c:v>
                  </c:pt>
                  <c:pt idx="9">
                    <c:v>1993</c:v>
                  </c:pt>
                  <c:pt idx="10">
                    <c:v>1993</c:v>
                  </c:pt>
                  <c:pt idx="11">
                    <c:v>1993</c:v>
                  </c:pt>
                  <c:pt idx="12">
                    <c:v>1994</c:v>
                  </c:pt>
                  <c:pt idx="13">
                    <c:v>1994</c:v>
                  </c:pt>
                  <c:pt idx="14">
                    <c:v>1994</c:v>
                  </c:pt>
                  <c:pt idx="15">
                    <c:v>1994</c:v>
                  </c:pt>
                  <c:pt idx="16">
                    <c:v>1995</c:v>
                  </c:pt>
                  <c:pt idx="17">
                    <c:v>1995</c:v>
                  </c:pt>
                  <c:pt idx="18">
                    <c:v>1995</c:v>
                  </c:pt>
                  <c:pt idx="19">
                    <c:v>1995</c:v>
                  </c:pt>
                  <c:pt idx="20">
                    <c:v>1996</c:v>
                  </c:pt>
                  <c:pt idx="21">
                    <c:v>1996</c:v>
                  </c:pt>
                  <c:pt idx="22">
                    <c:v>1996</c:v>
                  </c:pt>
                  <c:pt idx="23">
                    <c:v>1996</c:v>
                  </c:pt>
                  <c:pt idx="24">
                    <c:v>1997</c:v>
                  </c:pt>
                  <c:pt idx="25">
                    <c:v>1997</c:v>
                  </c:pt>
                  <c:pt idx="26">
                    <c:v>1997</c:v>
                  </c:pt>
                  <c:pt idx="27">
                    <c:v>1997</c:v>
                  </c:pt>
                  <c:pt idx="28">
                    <c:v>1998</c:v>
                  </c:pt>
                  <c:pt idx="29">
                    <c:v>1998</c:v>
                  </c:pt>
                  <c:pt idx="30">
                    <c:v>1998</c:v>
                  </c:pt>
                  <c:pt idx="31">
                    <c:v>1998</c:v>
                  </c:pt>
                  <c:pt idx="32">
                    <c:v>1999</c:v>
                  </c:pt>
                  <c:pt idx="33">
                    <c:v>1999</c:v>
                  </c:pt>
                  <c:pt idx="34">
                    <c:v>1999</c:v>
                  </c:pt>
                  <c:pt idx="35">
                    <c:v>1999</c:v>
                  </c:pt>
                  <c:pt idx="36">
                    <c:v>2000</c:v>
                  </c:pt>
                  <c:pt idx="37">
                    <c:v>2000</c:v>
                  </c:pt>
                  <c:pt idx="38">
                    <c:v>2000</c:v>
                  </c:pt>
                  <c:pt idx="39">
                    <c:v>2000</c:v>
                  </c:pt>
                  <c:pt idx="40">
                    <c:v>2001</c:v>
                  </c:pt>
                  <c:pt idx="41">
                    <c:v>2001</c:v>
                  </c:pt>
                  <c:pt idx="42">
                    <c:v>2001</c:v>
                  </c:pt>
                  <c:pt idx="43">
                    <c:v>2001</c:v>
                  </c:pt>
                  <c:pt idx="44">
                    <c:v>2002</c:v>
                  </c:pt>
                  <c:pt idx="45">
                    <c:v>2002</c:v>
                  </c:pt>
                  <c:pt idx="46">
                    <c:v>2002</c:v>
                  </c:pt>
                  <c:pt idx="47">
                    <c:v>2002</c:v>
                  </c:pt>
                  <c:pt idx="48">
                    <c:v>2003</c:v>
                  </c:pt>
                  <c:pt idx="49">
                    <c:v>2003</c:v>
                  </c:pt>
                  <c:pt idx="50">
                    <c:v>2003</c:v>
                  </c:pt>
                  <c:pt idx="51">
                    <c:v>2003</c:v>
                  </c:pt>
                  <c:pt idx="52">
                    <c:v>2004</c:v>
                  </c:pt>
                  <c:pt idx="53">
                    <c:v>2004</c:v>
                  </c:pt>
                  <c:pt idx="54">
                    <c:v>2004</c:v>
                  </c:pt>
                  <c:pt idx="55">
                    <c:v>2004</c:v>
                  </c:pt>
                  <c:pt idx="56">
                    <c:v>2005</c:v>
                  </c:pt>
                  <c:pt idx="57">
                    <c:v>2005</c:v>
                  </c:pt>
                  <c:pt idx="58">
                    <c:v>2005</c:v>
                  </c:pt>
                  <c:pt idx="59">
                    <c:v>2005</c:v>
                  </c:pt>
                  <c:pt idx="60">
                    <c:v>2006</c:v>
                  </c:pt>
                  <c:pt idx="61">
                    <c:v>2006</c:v>
                  </c:pt>
                  <c:pt idx="62">
                    <c:v>2006</c:v>
                  </c:pt>
                  <c:pt idx="63">
                    <c:v>2006</c:v>
                  </c:pt>
                  <c:pt idx="64">
                    <c:v>2007</c:v>
                  </c:pt>
                  <c:pt idx="65">
                    <c:v>2007</c:v>
                  </c:pt>
                  <c:pt idx="66">
                    <c:v>2007</c:v>
                  </c:pt>
                  <c:pt idx="67">
                    <c:v>2007</c:v>
                  </c:pt>
                  <c:pt idx="68">
                    <c:v>2008</c:v>
                  </c:pt>
                  <c:pt idx="69">
                    <c:v>2008</c:v>
                  </c:pt>
                  <c:pt idx="70">
                    <c:v>2008</c:v>
                  </c:pt>
                  <c:pt idx="71">
                    <c:v>2008</c:v>
                  </c:pt>
                  <c:pt idx="72">
                    <c:v>2009</c:v>
                  </c:pt>
                  <c:pt idx="73">
                    <c:v>2009</c:v>
                  </c:pt>
                  <c:pt idx="74">
                    <c:v>2009</c:v>
                  </c:pt>
                  <c:pt idx="75">
                    <c:v>2009</c:v>
                  </c:pt>
                  <c:pt idx="76">
                    <c:v>2010</c:v>
                  </c:pt>
                  <c:pt idx="77">
                    <c:v>2010</c:v>
                  </c:pt>
                  <c:pt idx="78">
                    <c:v>2010</c:v>
                  </c:pt>
                  <c:pt idx="79">
                    <c:v>2010</c:v>
                  </c:pt>
                  <c:pt idx="80">
                    <c:v>2011</c:v>
                  </c:pt>
                  <c:pt idx="81">
                    <c:v>2011</c:v>
                  </c:pt>
                  <c:pt idx="82">
                    <c:v>2011</c:v>
                  </c:pt>
                  <c:pt idx="83">
                    <c:v>2011</c:v>
                  </c:pt>
                  <c:pt idx="84">
                    <c:v>2012</c:v>
                  </c:pt>
                  <c:pt idx="85">
                    <c:v>2012</c:v>
                  </c:pt>
                  <c:pt idx="86">
                    <c:v>2012</c:v>
                  </c:pt>
                  <c:pt idx="87">
                    <c:v>2012</c:v>
                  </c:pt>
                  <c:pt idx="88">
                    <c:v>2013</c:v>
                  </c:pt>
                  <c:pt idx="89">
                    <c:v>2013</c:v>
                  </c:pt>
                  <c:pt idx="90">
                    <c:v>2013</c:v>
                  </c:pt>
                  <c:pt idx="91">
                    <c:v>2013</c:v>
                  </c:pt>
                  <c:pt idx="92">
                    <c:v>2014</c:v>
                  </c:pt>
                </c:lvl>
              </c:multiLvlStrCache>
            </c:multiLvlStrRef>
          </c:cat>
          <c:val>
            <c:numRef>
              <c:f>'Q5 FHFA HPI'!$D$5:$D$97</c:f>
              <c:numCache>
                <c:formatCode>General</c:formatCode>
                <c:ptCount val="93"/>
                <c:pt idx="4" formatCode="0.00%">
                  <c:v>2.3E-2</c:v>
                </c:pt>
                <c:pt idx="5" formatCode="0.00%">
                  <c:v>2.1600000000000001E-2</c:v>
                </c:pt>
                <c:pt idx="6" formatCode="0.00%">
                  <c:v>2.87E-2</c:v>
                </c:pt>
                <c:pt idx="7" formatCode="0.00%">
                  <c:v>2.7799999999999998E-2</c:v>
                </c:pt>
                <c:pt idx="8" formatCode="0.00%">
                  <c:v>1.5900000000000001E-2</c:v>
                </c:pt>
                <c:pt idx="9" formatCode="0.00%">
                  <c:v>2.7300000000000001E-2</c:v>
                </c:pt>
                <c:pt idx="10" formatCode="0.00%">
                  <c:v>2.6200000000000001E-2</c:v>
                </c:pt>
                <c:pt idx="11" formatCode="0.00%">
                  <c:v>2.7699999999999999E-2</c:v>
                </c:pt>
                <c:pt idx="12" formatCode="0.00%">
                  <c:v>3.6799999999999999E-2</c:v>
                </c:pt>
                <c:pt idx="13" formatCode="0.00%">
                  <c:v>3.5099999999999999E-2</c:v>
                </c:pt>
                <c:pt idx="14" formatCode="0.00%">
                  <c:v>3.39E-2</c:v>
                </c:pt>
                <c:pt idx="15" formatCode="0.00%">
                  <c:v>2.9499999999999998E-2</c:v>
                </c:pt>
                <c:pt idx="16" formatCode="0.00%">
                  <c:v>2.6599999999999999E-2</c:v>
                </c:pt>
                <c:pt idx="17" formatCode="0.00%">
                  <c:v>2.35E-2</c:v>
                </c:pt>
                <c:pt idx="18" formatCode="0.00%">
                  <c:v>2.64E-2</c:v>
                </c:pt>
                <c:pt idx="19" formatCode="0.00%">
                  <c:v>2.7099999999999999E-2</c:v>
                </c:pt>
                <c:pt idx="20" formatCode="0.00%">
                  <c:v>2.98E-2</c:v>
                </c:pt>
                <c:pt idx="21" formatCode="0.00%">
                  <c:v>3.1300000000000001E-2</c:v>
                </c:pt>
                <c:pt idx="22" formatCode="0.00%">
                  <c:v>2.87E-2</c:v>
                </c:pt>
                <c:pt idx="23" formatCode="0.00%">
                  <c:v>2.8400000000000002E-2</c:v>
                </c:pt>
                <c:pt idx="24" formatCode="0.00%">
                  <c:v>2.5700000000000001E-2</c:v>
                </c:pt>
                <c:pt idx="25" formatCode="0.00%">
                  <c:v>2.7400000000000001E-2</c:v>
                </c:pt>
                <c:pt idx="26" formatCode="0.00%">
                  <c:v>2.8199999999999999E-2</c:v>
                </c:pt>
                <c:pt idx="27" formatCode="0.00%">
                  <c:v>3.3399999999999999E-2</c:v>
                </c:pt>
                <c:pt idx="28" formatCode="0.00%">
                  <c:v>3.9600000000000003E-2</c:v>
                </c:pt>
                <c:pt idx="29" formatCode="0.00%">
                  <c:v>4.5199999999999997E-2</c:v>
                </c:pt>
                <c:pt idx="30" formatCode="0.00%">
                  <c:v>5.1200000000000002E-2</c:v>
                </c:pt>
                <c:pt idx="31" formatCode="0.00%">
                  <c:v>5.7000000000000002E-2</c:v>
                </c:pt>
                <c:pt idx="32" formatCode="0.00%">
                  <c:v>5.96E-2</c:v>
                </c:pt>
                <c:pt idx="33" formatCode="0.00%">
                  <c:v>6.0600000000000001E-2</c:v>
                </c:pt>
                <c:pt idx="34" formatCode="0.00%">
                  <c:v>6.3100000000000003E-2</c:v>
                </c:pt>
                <c:pt idx="35" formatCode="0.00%">
                  <c:v>6.2199999999999998E-2</c:v>
                </c:pt>
                <c:pt idx="36" formatCode="0.00%">
                  <c:v>6.4899999999999999E-2</c:v>
                </c:pt>
                <c:pt idx="37" formatCode="0.00%">
                  <c:v>6.7100000000000007E-2</c:v>
                </c:pt>
                <c:pt idx="38" formatCode="0.00%">
                  <c:v>6.7599999999999993E-2</c:v>
                </c:pt>
                <c:pt idx="39" formatCode="0.00%">
                  <c:v>6.9800000000000001E-2</c:v>
                </c:pt>
                <c:pt idx="40" formatCode="0.00%">
                  <c:v>7.1099999999999997E-2</c:v>
                </c:pt>
                <c:pt idx="41" formatCode="0.00%">
                  <c:v>6.9900000000000004E-2</c:v>
                </c:pt>
                <c:pt idx="42" formatCode="0.00%">
                  <c:v>6.9400000000000003E-2</c:v>
                </c:pt>
                <c:pt idx="43" formatCode="0.00%">
                  <c:v>6.7400000000000002E-2</c:v>
                </c:pt>
                <c:pt idx="44" formatCode="0.00%">
                  <c:v>6.5699999999999995E-2</c:v>
                </c:pt>
                <c:pt idx="45" formatCode="0.00%">
                  <c:v>6.83E-2</c:v>
                </c:pt>
                <c:pt idx="46" formatCode="0.00%">
                  <c:v>7.2099999999999997E-2</c:v>
                </c:pt>
                <c:pt idx="47" formatCode="0.00%">
                  <c:v>7.6799999999999993E-2</c:v>
                </c:pt>
                <c:pt idx="48" formatCode="0.00%">
                  <c:v>7.7600000000000002E-2</c:v>
                </c:pt>
                <c:pt idx="49" formatCode="0.00%">
                  <c:v>7.5200000000000003E-2</c:v>
                </c:pt>
                <c:pt idx="50" formatCode="0.00%">
                  <c:v>7.5800000000000006E-2</c:v>
                </c:pt>
                <c:pt idx="51" formatCode="0.00%">
                  <c:v>7.8600000000000003E-2</c:v>
                </c:pt>
                <c:pt idx="52" formatCode="0.00%">
                  <c:v>8.3699999999999997E-2</c:v>
                </c:pt>
                <c:pt idx="53" formatCode="0.00%">
                  <c:v>9.2999999999999999E-2</c:v>
                </c:pt>
                <c:pt idx="54" formatCode="0.00%">
                  <c:v>9.98E-2</c:v>
                </c:pt>
                <c:pt idx="55" formatCode="0.00%">
                  <c:v>0.1019</c:v>
                </c:pt>
                <c:pt idx="56" formatCode="0.00%">
                  <c:v>0.1043</c:v>
                </c:pt>
                <c:pt idx="57" formatCode="0.00%">
                  <c:v>0.1057</c:v>
                </c:pt>
                <c:pt idx="58" formatCode="0.00%">
                  <c:v>0.10580000000000001</c:v>
                </c:pt>
                <c:pt idx="59" formatCode="0.00%">
                  <c:v>0.1024</c:v>
                </c:pt>
                <c:pt idx="60" formatCode="0.00%">
                  <c:v>9.2299999999999993E-2</c:v>
                </c:pt>
                <c:pt idx="61" formatCode="0.00%">
                  <c:v>7.2099999999999997E-2</c:v>
                </c:pt>
                <c:pt idx="62" formatCode="0.00%">
                  <c:v>4.7199999999999999E-2</c:v>
                </c:pt>
                <c:pt idx="63" formatCode="0.00%">
                  <c:v>3.1E-2</c:v>
                </c:pt>
                <c:pt idx="64" formatCode="0.00%">
                  <c:v>2.1700000000000001E-2</c:v>
                </c:pt>
                <c:pt idx="65" formatCode="0.00%">
                  <c:v>1.2E-2</c:v>
                </c:pt>
                <c:pt idx="66" formatCode="0.00%">
                  <c:v>-2.3999999999999998E-3</c:v>
                </c:pt>
                <c:pt idx="67" formatCode="0.00%">
                  <c:v>-2.46E-2</c:v>
                </c:pt>
                <c:pt idx="68" formatCode="0.00%">
                  <c:v>-5.2400000000000002E-2</c:v>
                </c:pt>
                <c:pt idx="69" formatCode="0.00%">
                  <c:v>-7.6100000000000001E-2</c:v>
                </c:pt>
                <c:pt idx="70" formatCode="0.00%">
                  <c:v>-8.7400000000000005E-2</c:v>
                </c:pt>
                <c:pt idx="71" formatCode="0.00%">
                  <c:v>-9.8799999999999999E-2</c:v>
                </c:pt>
                <c:pt idx="72" formatCode="0.00%">
                  <c:v>-8.09E-2</c:v>
                </c:pt>
                <c:pt idx="73" formatCode="0.00%">
                  <c:v>-6.9199999999999998E-2</c:v>
                </c:pt>
                <c:pt idx="74" formatCode="0.00%">
                  <c:v>-5.0999999999999997E-2</c:v>
                </c:pt>
                <c:pt idx="75" formatCode="0.00%">
                  <c:v>-2.2599999999999999E-2</c:v>
                </c:pt>
                <c:pt idx="76" formatCode="0.00%">
                  <c:v>-2.9600000000000001E-2</c:v>
                </c:pt>
                <c:pt idx="77" formatCode="0.00%">
                  <c:v>-1.9599999999999999E-2</c:v>
                </c:pt>
                <c:pt idx="78" formatCode="0.00%">
                  <c:v>-3.1800000000000002E-2</c:v>
                </c:pt>
                <c:pt idx="79" formatCode="0.00%">
                  <c:v>-4.0800000000000003E-2</c:v>
                </c:pt>
                <c:pt idx="80" formatCode="0.00%">
                  <c:v>-5.2400000000000002E-2</c:v>
                </c:pt>
                <c:pt idx="81" formatCode="0.00%">
                  <c:v>-5.5500000000000001E-2</c:v>
                </c:pt>
                <c:pt idx="82" formatCode="0.00%">
                  <c:v>-3.44E-2</c:v>
                </c:pt>
                <c:pt idx="83" formatCode="0.00%">
                  <c:v>-2.2800000000000001E-2</c:v>
                </c:pt>
                <c:pt idx="84" formatCode="0.00%">
                  <c:v>7.0000000000000001E-3</c:v>
                </c:pt>
                <c:pt idx="85" formatCode="0.00%">
                  <c:v>3.32E-2</c:v>
                </c:pt>
                <c:pt idx="86" formatCode="0.00%">
                  <c:v>3.95E-2</c:v>
                </c:pt>
                <c:pt idx="87" formatCode="0.00%">
                  <c:v>5.5300000000000002E-2</c:v>
                </c:pt>
                <c:pt idx="88" formatCode="0.00%">
                  <c:v>7.0999999999999994E-2</c:v>
                </c:pt>
                <c:pt idx="89" formatCode="0.00%">
                  <c:v>7.5200000000000003E-2</c:v>
                </c:pt>
                <c:pt idx="90" formatCode="0.00%">
                  <c:v>8.3099999999999993E-2</c:v>
                </c:pt>
                <c:pt idx="91" formatCode="0.00%">
                  <c:v>7.6399999999999996E-2</c:v>
                </c:pt>
                <c:pt idx="92" formatCode="0.00%">
                  <c:v>6.6199999999999995E-2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5523840"/>
        <c:axId val="125522304"/>
      </c:lineChart>
      <c:catAx>
        <c:axId val="12551078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25512320"/>
        <c:crosses val="autoZero"/>
        <c:auto val="1"/>
        <c:lblAlgn val="ctr"/>
        <c:lblOffset val="100"/>
        <c:tickLblSkip val="4"/>
        <c:tickMarkSkip val="4"/>
        <c:noMultiLvlLbl val="0"/>
      </c:catAx>
      <c:valAx>
        <c:axId val="12551232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25510784"/>
        <c:crossesAt val="4"/>
        <c:crossBetween val="between"/>
      </c:valAx>
      <c:valAx>
        <c:axId val="125522304"/>
        <c:scaling>
          <c:orientation val="minMax"/>
        </c:scaling>
        <c:delete val="0"/>
        <c:axPos val="r"/>
        <c:numFmt formatCode="0.00%" sourceLinked="1"/>
        <c:majorTickMark val="out"/>
        <c:minorTickMark val="none"/>
        <c:tickLblPos val="nextTo"/>
        <c:crossAx val="125523840"/>
        <c:crosses val="max"/>
        <c:crossBetween val="between"/>
      </c:valAx>
      <c:catAx>
        <c:axId val="125523840"/>
        <c:scaling>
          <c:orientation val="minMax"/>
        </c:scaling>
        <c:delete val="1"/>
        <c:axPos val="b"/>
        <c:numFmt formatCode="0_);\(0\)" sourceLinked="1"/>
        <c:majorTickMark val="out"/>
        <c:minorTickMark val="none"/>
        <c:tickLblPos val="nextTo"/>
        <c:crossAx val="125522304"/>
        <c:crosses val="autoZero"/>
        <c:auto val="1"/>
        <c:lblAlgn val="ctr"/>
        <c:lblOffset val="100"/>
        <c:noMultiLvlLbl val="0"/>
      </c:catAx>
    </c:plotArea>
    <c:legend>
      <c:legendPos val="b"/>
      <c:overlay val="0"/>
    </c:legend>
    <c:plotVisOnly val="1"/>
    <c:dispBlanksAs val="gap"/>
    <c:showDLblsOverMax val="0"/>
  </c:chart>
  <c:txPr>
    <a:bodyPr/>
    <a:lstStyle/>
    <a:p>
      <a:pPr>
        <a:defRPr sz="700"/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'Q7 private label'!$C$4</c:f>
              <c:strCache>
                <c:ptCount val="1"/>
                <c:pt idx="0">
                  <c:v>Agency-and GSE-backed mortgage pools</c:v>
                </c:pt>
              </c:strCache>
            </c:strRef>
          </c:tx>
          <c:invertIfNegative val="0"/>
          <c:cat>
            <c:strRef>
              <c:f>'Q7 private label'!$A$5:$A$122</c:f>
              <c:strCache>
                <c:ptCount val="118"/>
                <c:pt idx="0">
                  <c:v>1984Q4</c:v>
                </c:pt>
                <c:pt idx="1">
                  <c:v>1985Q1</c:v>
                </c:pt>
                <c:pt idx="2">
                  <c:v>1985Q2</c:v>
                </c:pt>
                <c:pt idx="3">
                  <c:v>1985Q3</c:v>
                </c:pt>
                <c:pt idx="4">
                  <c:v>1985Q4</c:v>
                </c:pt>
                <c:pt idx="5">
                  <c:v>1986Q1</c:v>
                </c:pt>
                <c:pt idx="6">
                  <c:v>1986Q2</c:v>
                </c:pt>
                <c:pt idx="7">
                  <c:v>1986Q3</c:v>
                </c:pt>
                <c:pt idx="8">
                  <c:v>1986Q4</c:v>
                </c:pt>
                <c:pt idx="9">
                  <c:v>1987Q1</c:v>
                </c:pt>
                <c:pt idx="10">
                  <c:v>1987Q2</c:v>
                </c:pt>
                <c:pt idx="11">
                  <c:v>1987Q3</c:v>
                </c:pt>
                <c:pt idx="12">
                  <c:v>1987Q4</c:v>
                </c:pt>
                <c:pt idx="13">
                  <c:v>1988Q1</c:v>
                </c:pt>
                <c:pt idx="14">
                  <c:v>1988Q2</c:v>
                </c:pt>
                <c:pt idx="15">
                  <c:v>1988Q3</c:v>
                </c:pt>
                <c:pt idx="16">
                  <c:v>1988Q4</c:v>
                </c:pt>
                <c:pt idx="17">
                  <c:v>1989Q1</c:v>
                </c:pt>
                <c:pt idx="18">
                  <c:v>1989Q2</c:v>
                </c:pt>
                <c:pt idx="19">
                  <c:v>1989Q3</c:v>
                </c:pt>
                <c:pt idx="20">
                  <c:v>1989Q4</c:v>
                </c:pt>
                <c:pt idx="21">
                  <c:v>1990Q1</c:v>
                </c:pt>
                <c:pt idx="22">
                  <c:v>1990Q2</c:v>
                </c:pt>
                <c:pt idx="23">
                  <c:v>1990Q3</c:v>
                </c:pt>
                <c:pt idx="24">
                  <c:v>1990Q4</c:v>
                </c:pt>
                <c:pt idx="25">
                  <c:v>1991Q1</c:v>
                </c:pt>
                <c:pt idx="26">
                  <c:v>1991Q2</c:v>
                </c:pt>
                <c:pt idx="27">
                  <c:v>1991Q3</c:v>
                </c:pt>
                <c:pt idx="28">
                  <c:v>1991Q4</c:v>
                </c:pt>
                <c:pt idx="29">
                  <c:v>1992Q1</c:v>
                </c:pt>
                <c:pt idx="30">
                  <c:v>1992Q2</c:v>
                </c:pt>
                <c:pt idx="31">
                  <c:v>1992Q3</c:v>
                </c:pt>
                <c:pt idx="32">
                  <c:v>1992Q4</c:v>
                </c:pt>
                <c:pt idx="33">
                  <c:v>1993Q1</c:v>
                </c:pt>
                <c:pt idx="34">
                  <c:v>1993Q2</c:v>
                </c:pt>
                <c:pt idx="35">
                  <c:v>1993Q3</c:v>
                </c:pt>
                <c:pt idx="36">
                  <c:v>1993Q4</c:v>
                </c:pt>
                <c:pt idx="37">
                  <c:v>1994Q1</c:v>
                </c:pt>
                <c:pt idx="38">
                  <c:v>1994Q2</c:v>
                </c:pt>
                <c:pt idx="39">
                  <c:v>1994Q3</c:v>
                </c:pt>
                <c:pt idx="40">
                  <c:v>1994Q4</c:v>
                </c:pt>
                <c:pt idx="41">
                  <c:v>1995Q1</c:v>
                </c:pt>
                <c:pt idx="42">
                  <c:v>1995Q2</c:v>
                </c:pt>
                <c:pt idx="43">
                  <c:v>1995Q3</c:v>
                </c:pt>
                <c:pt idx="44">
                  <c:v>1995Q4</c:v>
                </c:pt>
                <c:pt idx="45">
                  <c:v>1996Q1</c:v>
                </c:pt>
                <c:pt idx="46">
                  <c:v>1996Q2</c:v>
                </c:pt>
                <c:pt idx="47">
                  <c:v>1996Q3</c:v>
                </c:pt>
                <c:pt idx="48">
                  <c:v>1996Q4</c:v>
                </c:pt>
                <c:pt idx="49">
                  <c:v>1997Q1</c:v>
                </c:pt>
                <c:pt idx="50">
                  <c:v>1997Q2</c:v>
                </c:pt>
                <c:pt idx="51">
                  <c:v>1997Q3</c:v>
                </c:pt>
                <c:pt idx="52">
                  <c:v>1997Q4</c:v>
                </c:pt>
                <c:pt idx="53">
                  <c:v>1998Q1</c:v>
                </c:pt>
                <c:pt idx="54">
                  <c:v>1998Q2</c:v>
                </c:pt>
                <c:pt idx="55">
                  <c:v>1998Q3</c:v>
                </c:pt>
                <c:pt idx="56">
                  <c:v>1998Q4</c:v>
                </c:pt>
                <c:pt idx="57">
                  <c:v>1999Q1</c:v>
                </c:pt>
                <c:pt idx="58">
                  <c:v>1999Q2</c:v>
                </c:pt>
                <c:pt idx="59">
                  <c:v>1999Q3</c:v>
                </c:pt>
                <c:pt idx="60">
                  <c:v>1999Q4</c:v>
                </c:pt>
                <c:pt idx="61">
                  <c:v>2000Q1</c:v>
                </c:pt>
                <c:pt idx="62">
                  <c:v>2000Q2</c:v>
                </c:pt>
                <c:pt idx="63">
                  <c:v>2000Q3</c:v>
                </c:pt>
                <c:pt idx="64">
                  <c:v>2000Q4</c:v>
                </c:pt>
                <c:pt idx="65">
                  <c:v>2001Q1</c:v>
                </c:pt>
                <c:pt idx="66">
                  <c:v>2001Q2</c:v>
                </c:pt>
                <c:pt idx="67">
                  <c:v>2001Q3</c:v>
                </c:pt>
                <c:pt idx="68">
                  <c:v>2001Q4</c:v>
                </c:pt>
                <c:pt idx="69">
                  <c:v>2002Q1</c:v>
                </c:pt>
                <c:pt idx="70">
                  <c:v>2002Q2</c:v>
                </c:pt>
                <c:pt idx="71">
                  <c:v>2002Q3</c:v>
                </c:pt>
                <c:pt idx="72">
                  <c:v>2002Q4</c:v>
                </c:pt>
                <c:pt idx="73">
                  <c:v>2003Q1</c:v>
                </c:pt>
                <c:pt idx="74">
                  <c:v>2003Q2</c:v>
                </c:pt>
                <c:pt idx="75">
                  <c:v>2003Q3</c:v>
                </c:pt>
                <c:pt idx="76">
                  <c:v>2003Q4</c:v>
                </c:pt>
                <c:pt idx="77">
                  <c:v>2004Q1</c:v>
                </c:pt>
                <c:pt idx="78">
                  <c:v>2004Q2</c:v>
                </c:pt>
                <c:pt idx="79">
                  <c:v>2004Q3</c:v>
                </c:pt>
                <c:pt idx="80">
                  <c:v>2004Q4</c:v>
                </c:pt>
                <c:pt idx="81">
                  <c:v>2005Q1</c:v>
                </c:pt>
                <c:pt idx="82">
                  <c:v>2005Q2</c:v>
                </c:pt>
                <c:pt idx="83">
                  <c:v>2005Q3</c:v>
                </c:pt>
                <c:pt idx="84">
                  <c:v>2005Q4</c:v>
                </c:pt>
                <c:pt idx="85">
                  <c:v>2006Q1</c:v>
                </c:pt>
                <c:pt idx="86">
                  <c:v>2006Q2</c:v>
                </c:pt>
                <c:pt idx="87">
                  <c:v>2006Q3</c:v>
                </c:pt>
                <c:pt idx="88">
                  <c:v>2006Q4</c:v>
                </c:pt>
                <c:pt idx="89">
                  <c:v>2007Q1</c:v>
                </c:pt>
                <c:pt idx="90">
                  <c:v>2007Q2</c:v>
                </c:pt>
                <c:pt idx="91">
                  <c:v>2007Q3</c:v>
                </c:pt>
                <c:pt idx="92">
                  <c:v>2007Q4</c:v>
                </c:pt>
                <c:pt idx="93">
                  <c:v>2008Q1</c:v>
                </c:pt>
                <c:pt idx="94">
                  <c:v>2008Q2</c:v>
                </c:pt>
                <c:pt idx="95">
                  <c:v>2008Q3</c:v>
                </c:pt>
                <c:pt idx="96">
                  <c:v>2008Q4</c:v>
                </c:pt>
                <c:pt idx="97">
                  <c:v>2009Q1</c:v>
                </c:pt>
                <c:pt idx="98">
                  <c:v>2009Q2</c:v>
                </c:pt>
                <c:pt idx="99">
                  <c:v>2009Q3</c:v>
                </c:pt>
                <c:pt idx="100">
                  <c:v>2009Q4</c:v>
                </c:pt>
                <c:pt idx="101">
                  <c:v>2010Q1</c:v>
                </c:pt>
                <c:pt idx="102">
                  <c:v>2010Q2</c:v>
                </c:pt>
                <c:pt idx="103">
                  <c:v>2010Q3</c:v>
                </c:pt>
                <c:pt idx="104">
                  <c:v>2010Q4</c:v>
                </c:pt>
                <c:pt idx="105">
                  <c:v>2011Q1</c:v>
                </c:pt>
                <c:pt idx="106">
                  <c:v>2011Q2</c:v>
                </c:pt>
                <c:pt idx="107">
                  <c:v>2011Q3</c:v>
                </c:pt>
                <c:pt idx="108">
                  <c:v>2011Q4</c:v>
                </c:pt>
                <c:pt idx="109">
                  <c:v>2012Q1</c:v>
                </c:pt>
                <c:pt idx="110">
                  <c:v>2012Q2</c:v>
                </c:pt>
                <c:pt idx="111">
                  <c:v>2012Q3</c:v>
                </c:pt>
                <c:pt idx="112">
                  <c:v>2012Q4</c:v>
                </c:pt>
                <c:pt idx="113">
                  <c:v>2013Q1</c:v>
                </c:pt>
                <c:pt idx="114">
                  <c:v>2013Q2</c:v>
                </c:pt>
                <c:pt idx="115">
                  <c:v>2013Q3</c:v>
                </c:pt>
                <c:pt idx="116">
                  <c:v>2013Q4</c:v>
                </c:pt>
                <c:pt idx="117">
                  <c:v>2014Q1</c:v>
                </c:pt>
              </c:strCache>
            </c:strRef>
          </c:cat>
          <c:val>
            <c:numRef>
              <c:f>'Q7 private label'!$E$5:$E$122</c:f>
              <c:numCache>
                <c:formatCode>General</c:formatCode>
                <c:ptCount val="118"/>
                <c:pt idx="0">
                  <c:v>0.21411080826256917</c:v>
                </c:pt>
                <c:pt idx="1">
                  <c:v>0.21440757472973168</c:v>
                </c:pt>
                <c:pt idx="2">
                  <c:v>0.21971260331316381</c:v>
                </c:pt>
                <c:pt idx="3">
                  <c:v>0.22743658360079097</c:v>
                </c:pt>
                <c:pt idx="4">
                  <c:v>0.2361082366871966</c:v>
                </c:pt>
                <c:pt idx="5">
                  <c:v>0.24727316382330999</c:v>
                </c:pt>
                <c:pt idx="6">
                  <c:v>0.25956674635346288</c:v>
                </c:pt>
                <c:pt idx="7">
                  <c:v>0.27641710439014422</c:v>
                </c:pt>
                <c:pt idx="8">
                  <c:v>0.30027818734903583</c:v>
                </c:pt>
                <c:pt idx="9">
                  <c:v>0.31716304525865718</c:v>
                </c:pt>
                <c:pt idx="10">
                  <c:v>0.32543942280524502</c:v>
                </c:pt>
                <c:pt idx="11">
                  <c:v>0.33235913749697155</c:v>
                </c:pt>
                <c:pt idx="12">
                  <c:v>0.33855668028895641</c:v>
                </c:pt>
                <c:pt idx="13">
                  <c:v>0.33419395934719348</c:v>
                </c:pt>
                <c:pt idx="14">
                  <c:v>0.33091437574757038</c:v>
                </c:pt>
                <c:pt idx="15">
                  <c:v>0.33288285614566587</c:v>
                </c:pt>
                <c:pt idx="16">
                  <c:v>0.33456892928528859</c:v>
                </c:pt>
                <c:pt idx="17">
                  <c:v>0.34016903487150468</c:v>
                </c:pt>
                <c:pt idx="18">
                  <c:v>0.34131205394678138</c:v>
                </c:pt>
                <c:pt idx="19">
                  <c:v>0.34518555982597238</c:v>
                </c:pt>
                <c:pt idx="20">
                  <c:v>0.35610021517098511</c:v>
                </c:pt>
                <c:pt idx="21">
                  <c:v>0.35847641517789253</c:v>
                </c:pt>
                <c:pt idx="22">
                  <c:v>0.36430912653017766</c:v>
                </c:pt>
                <c:pt idx="23">
                  <c:v>0.37065206090825936</c:v>
                </c:pt>
                <c:pt idx="24">
                  <c:v>0.38019135612936666</c:v>
                </c:pt>
                <c:pt idx="25">
                  <c:v>0.38738867280026401</c:v>
                </c:pt>
                <c:pt idx="26">
                  <c:v>0.39205520470774374</c:v>
                </c:pt>
                <c:pt idx="27">
                  <c:v>0.40301937209515259</c:v>
                </c:pt>
                <c:pt idx="28">
                  <c:v>0.40737700043788438</c:v>
                </c:pt>
                <c:pt idx="29">
                  <c:v>0.41006497965332933</c:v>
                </c:pt>
                <c:pt idx="30">
                  <c:v>0.41955098806106855</c:v>
                </c:pt>
                <c:pt idx="31">
                  <c:v>0.42054720331104789</c:v>
                </c:pt>
                <c:pt idx="32">
                  <c:v>0.42425438139568716</c:v>
                </c:pt>
                <c:pt idx="33">
                  <c:v>0.43241685065862295</c:v>
                </c:pt>
                <c:pt idx="34">
                  <c:v>0.42533081889067736</c:v>
                </c:pt>
                <c:pt idx="35">
                  <c:v>0.42768547724833933</c:v>
                </c:pt>
                <c:pt idx="36">
                  <c:v>0.43027918111722363</c:v>
                </c:pt>
                <c:pt idx="37">
                  <c:v>0.43957580457873413</c:v>
                </c:pt>
                <c:pt idx="38">
                  <c:v>0.44343506099603108</c:v>
                </c:pt>
                <c:pt idx="39">
                  <c:v>0.44352567255478731</c:v>
                </c:pt>
                <c:pt idx="40">
                  <c:v>0.44218933026824414</c:v>
                </c:pt>
                <c:pt idx="41">
                  <c:v>0.44087160193905334</c:v>
                </c:pt>
                <c:pt idx="42">
                  <c:v>0.439550021336305</c:v>
                </c:pt>
                <c:pt idx="43">
                  <c:v>0.44009338482635757</c:v>
                </c:pt>
                <c:pt idx="44">
                  <c:v>0.44792498598313529</c:v>
                </c:pt>
                <c:pt idx="45">
                  <c:v>0.44805243485193691</c:v>
                </c:pt>
                <c:pt idx="46">
                  <c:v>0.45247634122495917</c:v>
                </c:pt>
                <c:pt idx="47">
                  <c:v>0.45372309658730231</c:v>
                </c:pt>
                <c:pt idx="48">
                  <c:v>0.45595324055688469</c:v>
                </c:pt>
                <c:pt idx="49">
                  <c:v>0.45772088249633264</c:v>
                </c:pt>
                <c:pt idx="50">
                  <c:v>0.45659995023964028</c:v>
                </c:pt>
                <c:pt idx="51">
                  <c:v>0.45274772206039871</c:v>
                </c:pt>
                <c:pt idx="52">
                  <c:v>0.45654195510040452</c:v>
                </c:pt>
                <c:pt idx="53">
                  <c:v>0.45371889778936603</c:v>
                </c:pt>
                <c:pt idx="54">
                  <c:v>0.45845528955579723</c:v>
                </c:pt>
                <c:pt idx="55">
                  <c:v>0.46340655963224381</c:v>
                </c:pt>
                <c:pt idx="56">
                  <c:v>0.46106790610560594</c:v>
                </c:pt>
                <c:pt idx="57">
                  <c:v>0.47252759871339056</c:v>
                </c:pt>
                <c:pt idx="58">
                  <c:v>0.47634643669162463</c:v>
                </c:pt>
                <c:pt idx="59">
                  <c:v>0.47600216303697895</c:v>
                </c:pt>
                <c:pt idx="60">
                  <c:v>0.47565383461767913</c:v>
                </c:pt>
                <c:pt idx="61">
                  <c:v>0.47447712319565644</c:v>
                </c:pt>
                <c:pt idx="62">
                  <c:v>0.46879460464283695</c:v>
                </c:pt>
                <c:pt idx="63">
                  <c:v>0.46860466112731897</c:v>
                </c:pt>
                <c:pt idx="64">
                  <c:v>0.47356425470137897</c:v>
                </c:pt>
                <c:pt idx="65">
                  <c:v>0.47230419409645386</c:v>
                </c:pt>
                <c:pt idx="66">
                  <c:v>0.47517895599880544</c:v>
                </c:pt>
                <c:pt idx="67">
                  <c:v>0.48309283183198926</c:v>
                </c:pt>
                <c:pt idx="68">
                  <c:v>0.48430925811391107</c:v>
                </c:pt>
                <c:pt idx="69">
                  <c:v>0.49300351914992202</c:v>
                </c:pt>
                <c:pt idx="70">
                  <c:v>0.49167808241401417</c:v>
                </c:pt>
                <c:pt idx="71">
                  <c:v>0.48171421313186047</c:v>
                </c:pt>
                <c:pt idx="72">
                  <c:v>0.4763637844999466</c:v>
                </c:pt>
                <c:pt idx="73">
                  <c:v>0.4743312317028659</c:v>
                </c:pt>
                <c:pt idx="74">
                  <c:v>0.46614786492454935</c:v>
                </c:pt>
                <c:pt idx="75">
                  <c:v>0.46163358303896518</c:v>
                </c:pt>
                <c:pt idx="76">
                  <c:v>0.44567221158104281</c:v>
                </c:pt>
                <c:pt idx="77">
                  <c:v>0.43447267745645524</c:v>
                </c:pt>
                <c:pt idx="78">
                  <c:v>0.42015941115104344</c:v>
                </c:pt>
                <c:pt idx="79">
                  <c:v>0.40828226494561842</c:v>
                </c:pt>
                <c:pt idx="80">
                  <c:v>0.39522681055246683</c:v>
                </c:pt>
                <c:pt idx="81">
                  <c:v>0.3874307657304637</c:v>
                </c:pt>
                <c:pt idx="82">
                  <c:v>0.37828295270327084</c:v>
                </c:pt>
                <c:pt idx="83">
                  <c:v>0.36995320488916422</c:v>
                </c:pt>
                <c:pt idx="84">
                  <c:v>0.36582521077087604</c:v>
                </c:pt>
                <c:pt idx="85">
                  <c:v>0.36173658418328658</c:v>
                </c:pt>
                <c:pt idx="86">
                  <c:v>0.35674026144796223</c:v>
                </c:pt>
                <c:pt idx="87">
                  <c:v>0.35542618513547614</c:v>
                </c:pt>
                <c:pt idx="88">
                  <c:v>0.35704044751192487</c:v>
                </c:pt>
                <c:pt idx="89">
                  <c:v>0.36034414636417433</c:v>
                </c:pt>
                <c:pt idx="90">
                  <c:v>0.36447688924769395</c:v>
                </c:pt>
                <c:pt idx="91">
                  <c:v>0.37389981826462931</c:v>
                </c:pt>
                <c:pt idx="92">
                  <c:v>0.38899134731270196</c:v>
                </c:pt>
                <c:pt idx="93">
                  <c:v>0.39844058731310744</c:v>
                </c:pt>
                <c:pt idx="94">
                  <c:v>0.41276315199282754</c:v>
                </c:pt>
                <c:pt idx="95">
                  <c:v>0.42639917710463149</c:v>
                </c:pt>
                <c:pt idx="96">
                  <c:v>0.43613008000905257</c:v>
                </c:pt>
                <c:pt idx="97">
                  <c:v>0.44374001457191431</c:v>
                </c:pt>
                <c:pt idx="98">
                  <c:v>0.45720695041239118</c:v>
                </c:pt>
                <c:pt idx="99">
                  <c:v>0.47191683724567551</c:v>
                </c:pt>
                <c:pt idx="100">
                  <c:v>0.48151671593988105</c:v>
                </c:pt>
                <c:pt idx="101">
                  <c:v>8.5297111071954451E-2</c:v>
                </c:pt>
                <c:pt idx="102">
                  <c:v>9.1608138167630249E-2</c:v>
                </c:pt>
                <c:pt idx="103">
                  <c:v>9.6604195603458148E-2</c:v>
                </c:pt>
                <c:pt idx="104">
                  <c:v>0.102337513215932</c:v>
                </c:pt>
                <c:pt idx="105">
                  <c:v>0.1071615170325161</c:v>
                </c:pt>
                <c:pt idx="106">
                  <c:v>0.11202565088579872</c:v>
                </c:pt>
                <c:pt idx="107">
                  <c:v>0.11642246697585275</c:v>
                </c:pt>
                <c:pt idx="108">
                  <c:v>0.11926313078068194</c:v>
                </c:pt>
                <c:pt idx="109">
                  <c:v>0.12200610892922545</c:v>
                </c:pt>
                <c:pt idx="110">
                  <c:v>0.12659367936240526</c:v>
                </c:pt>
                <c:pt idx="111">
                  <c:v>0.12974283273712045</c:v>
                </c:pt>
                <c:pt idx="112">
                  <c:v>0.13242786047320612</c:v>
                </c:pt>
                <c:pt idx="113">
                  <c:v>0.13498889315827614</c:v>
                </c:pt>
                <c:pt idx="114">
                  <c:v>0.13792660994097763</c:v>
                </c:pt>
                <c:pt idx="115">
                  <c:v>0.141204774468455</c:v>
                </c:pt>
                <c:pt idx="116">
                  <c:v>0.14368168112524896</c:v>
                </c:pt>
                <c:pt idx="117">
                  <c:v>0.14536405828213292</c:v>
                </c:pt>
              </c:numCache>
            </c:numRef>
          </c:val>
        </c:ser>
        <c:ser>
          <c:idx val="1"/>
          <c:order val="1"/>
          <c:tx>
            <c:strRef>
              <c:f>'Q7 private label'!$F$4</c:f>
              <c:strCache>
                <c:ptCount val="1"/>
                <c:pt idx="0">
                  <c:v>Issuers of asset-backed securities</c:v>
                </c:pt>
              </c:strCache>
            </c:strRef>
          </c:tx>
          <c:invertIfNegative val="0"/>
          <c:val>
            <c:numRef>
              <c:f>'Q7 private label'!$F$5:$F$122</c:f>
              <c:numCache>
                <c:formatCode>General</c:formatCode>
                <c:ptCount val="118"/>
                <c:pt idx="0">
                  <c:v>8.3237106193900078E-3</c:v>
                </c:pt>
                <c:pt idx="1">
                  <c:v>1.3822294069252198E-2</c:v>
                </c:pt>
                <c:pt idx="2">
                  <c:v>1.4683546431139846E-2</c:v>
                </c:pt>
                <c:pt idx="3">
                  <c:v>1.4596044763641016E-2</c:v>
                </c:pt>
                <c:pt idx="4">
                  <c:v>1.5728847660189827E-2</c:v>
                </c:pt>
                <c:pt idx="5">
                  <c:v>1.6352671240176007E-2</c:v>
                </c:pt>
                <c:pt idx="6">
                  <c:v>1.7098633445686767E-2</c:v>
                </c:pt>
                <c:pt idx="7">
                  <c:v>1.7838803317570734E-2</c:v>
                </c:pt>
                <c:pt idx="8">
                  <c:v>9.6044861394728367E-3</c:v>
                </c:pt>
                <c:pt idx="9">
                  <c:v>1.044908471666036E-2</c:v>
                </c:pt>
                <c:pt idx="10">
                  <c:v>1.1629363655147393E-2</c:v>
                </c:pt>
                <c:pt idx="11">
                  <c:v>1.4358547607259856E-2</c:v>
                </c:pt>
                <c:pt idx="12">
                  <c:v>1.4415670144576726E-2</c:v>
                </c:pt>
                <c:pt idx="13">
                  <c:v>1.4806176860924423E-2</c:v>
                </c:pt>
                <c:pt idx="14">
                  <c:v>1.5036494637053671E-2</c:v>
                </c:pt>
                <c:pt idx="15">
                  <c:v>1.5566630182129858E-2</c:v>
                </c:pt>
                <c:pt idx="16">
                  <c:v>1.6120388997724697E-2</c:v>
                </c:pt>
                <c:pt idx="17">
                  <c:v>1.6398783157215706E-2</c:v>
                </c:pt>
                <c:pt idx="18">
                  <c:v>1.6347146729220548E-2</c:v>
                </c:pt>
                <c:pt idx="19">
                  <c:v>1.450919446167012E-2</c:v>
                </c:pt>
                <c:pt idx="20">
                  <c:v>1.8284005274571531E-2</c:v>
                </c:pt>
                <c:pt idx="21">
                  <c:v>1.5576611337487478E-2</c:v>
                </c:pt>
                <c:pt idx="22">
                  <c:v>1.7028381894527166E-2</c:v>
                </c:pt>
                <c:pt idx="23">
                  <c:v>1.8408983178684502E-2</c:v>
                </c:pt>
                <c:pt idx="24">
                  <c:v>2.1109754149563353E-2</c:v>
                </c:pt>
                <c:pt idx="25">
                  <c:v>2.2498067619280453E-2</c:v>
                </c:pt>
                <c:pt idx="26">
                  <c:v>2.684465294283235E-2</c:v>
                </c:pt>
                <c:pt idx="27">
                  <c:v>3.1013686326113298E-2</c:v>
                </c:pt>
                <c:pt idx="28">
                  <c:v>3.4862084437805099E-2</c:v>
                </c:pt>
                <c:pt idx="29">
                  <c:v>3.7950249481006663E-2</c:v>
                </c:pt>
                <c:pt idx="30">
                  <c:v>4.1005826605589789E-2</c:v>
                </c:pt>
                <c:pt idx="31">
                  <c:v>4.5550777703229593E-2</c:v>
                </c:pt>
                <c:pt idx="32">
                  <c:v>4.835540140863382E-2</c:v>
                </c:pt>
                <c:pt idx="33">
                  <c:v>4.9428435131602139E-2</c:v>
                </c:pt>
                <c:pt idx="34">
                  <c:v>5.117218548156837E-2</c:v>
                </c:pt>
                <c:pt idx="35">
                  <c:v>5.3617531587527807E-2</c:v>
                </c:pt>
                <c:pt idx="36">
                  <c:v>5.4143917647610451E-2</c:v>
                </c:pt>
                <c:pt idx="37">
                  <c:v>5.7339684574272569E-2</c:v>
                </c:pt>
                <c:pt idx="38">
                  <c:v>5.6927113257049376E-2</c:v>
                </c:pt>
                <c:pt idx="39">
                  <c:v>5.6389328517759234E-2</c:v>
                </c:pt>
                <c:pt idx="40">
                  <c:v>5.5823791534887354E-2</c:v>
                </c:pt>
                <c:pt idx="41">
                  <c:v>5.6256042831282653E-2</c:v>
                </c:pt>
                <c:pt idx="42">
                  <c:v>5.6330467227384939E-2</c:v>
                </c:pt>
                <c:pt idx="43">
                  <c:v>5.5517528334837495E-2</c:v>
                </c:pt>
                <c:pt idx="44">
                  <c:v>5.6232593555733575E-2</c:v>
                </c:pt>
                <c:pt idx="45">
                  <c:v>5.7315416077927117E-2</c:v>
                </c:pt>
                <c:pt idx="46">
                  <c:v>5.8357335436005443E-2</c:v>
                </c:pt>
                <c:pt idx="47">
                  <c:v>5.8868652469399735E-2</c:v>
                </c:pt>
                <c:pt idx="48">
                  <c:v>5.8490315041112455E-2</c:v>
                </c:pt>
                <c:pt idx="49">
                  <c:v>6.0247491272905039E-2</c:v>
                </c:pt>
                <c:pt idx="50">
                  <c:v>6.0566977259092568E-2</c:v>
                </c:pt>
                <c:pt idx="51">
                  <c:v>6.2911744860854282E-2</c:v>
                </c:pt>
                <c:pt idx="52">
                  <c:v>6.4803581983243819E-2</c:v>
                </c:pt>
                <c:pt idx="53">
                  <c:v>6.7498405223954588E-2</c:v>
                </c:pt>
                <c:pt idx="54">
                  <c:v>7.0594263069373997E-2</c:v>
                </c:pt>
                <c:pt idx="55">
                  <c:v>7.3848127019181614E-2</c:v>
                </c:pt>
                <c:pt idx="56">
                  <c:v>7.532532311743384E-2</c:v>
                </c:pt>
                <c:pt idx="57">
                  <c:v>7.6554623865314031E-2</c:v>
                </c:pt>
                <c:pt idx="58">
                  <c:v>7.7224473120779499E-2</c:v>
                </c:pt>
                <c:pt idx="59">
                  <c:v>7.570868373673631E-2</c:v>
                </c:pt>
                <c:pt idx="60">
                  <c:v>7.5292433321592842E-2</c:v>
                </c:pt>
                <c:pt idx="61">
                  <c:v>7.4292734272569827E-2</c:v>
                </c:pt>
                <c:pt idx="62">
                  <c:v>7.2697917664976255E-2</c:v>
                </c:pt>
                <c:pt idx="63">
                  <c:v>7.3536425034163383E-2</c:v>
                </c:pt>
                <c:pt idx="64">
                  <c:v>7.5132842033704794E-2</c:v>
                </c:pt>
                <c:pt idx="65">
                  <c:v>7.7183622469812307E-2</c:v>
                </c:pt>
                <c:pt idx="66">
                  <c:v>7.786529004876655E-2</c:v>
                </c:pt>
                <c:pt idx="67">
                  <c:v>7.9544121788036201E-2</c:v>
                </c:pt>
                <c:pt idx="68">
                  <c:v>8.1742444666465797E-2</c:v>
                </c:pt>
                <c:pt idx="69">
                  <c:v>8.4970528343059321E-2</c:v>
                </c:pt>
                <c:pt idx="70">
                  <c:v>8.6651637203694593E-2</c:v>
                </c:pt>
                <c:pt idx="71">
                  <c:v>8.7206267997742601E-2</c:v>
                </c:pt>
                <c:pt idx="72">
                  <c:v>8.4832547944677247E-2</c:v>
                </c:pt>
                <c:pt idx="73">
                  <c:v>8.6379283971521212E-2</c:v>
                </c:pt>
                <c:pt idx="74">
                  <c:v>8.5501484002054637E-2</c:v>
                </c:pt>
                <c:pt idx="75">
                  <c:v>8.7181329784654163E-2</c:v>
                </c:pt>
                <c:pt idx="76">
                  <c:v>9.2213381092067559E-2</c:v>
                </c:pt>
                <c:pt idx="77">
                  <c:v>9.9612205669062509E-2</c:v>
                </c:pt>
                <c:pt idx="78">
                  <c:v>0.10773637970854143</c:v>
                </c:pt>
                <c:pt idx="79">
                  <c:v>0.11909884319546812</c:v>
                </c:pt>
                <c:pt idx="80">
                  <c:v>0.12773329818433135</c:v>
                </c:pt>
                <c:pt idx="81">
                  <c:v>0.13823961114873123</c:v>
                </c:pt>
                <c:pt idx="82">
                  <c:v>0.14979125763732337</c:v>
                </c:pt>
                <c:pt idx="83">
                  <c:v>0.16295110124771284</c:v>
                </c:pt>
                <c:pt idx="84">
                  <c:v>0.17507667893565021</c:v>
                </c:pt>
                <c:pt idx="85">
                  <c:v>0.18398758170477547</c:v>
                </c:pt>
                <c:pt idx="86">
                  <c:v>0.19243512800728421</c:v>
                </c:pt>
                <c:pt idx="87">
                  <c:v>0.20018187454429776</c:v>
                </c:pt>
                <c:pt idx="88">
                  <c:v>0.20692502971511864</c:v>
                </c:pt>
                <c:pt idx="89">
                  <c:v>0.21108204160227934</c:v>
                </c:pt>
                <c:pt idx="90">
                  <c:v>0.21330709205544124</c:v>
                </c:pt>
                <c:pt idx="91">
                  <c:v>0.20663554197655856</c:v>
                </c:pt>
                <c:pt idx="92">
                  <c:v>0.19688558423768573</c:v>
                </c:pt>
                <c:pt idx="93">
                  <c:v>0.19049624944948784</c:v>
                </c:pt>
                <c:pt idx="94">
                  <c:v>0.18288343020403672</c:v>
                </c:pt>
                <c:pt idx="95">
                  <c:v>0.17658010498703519</c:v>
                </c:pt>
                <c:pt idx="96">
                  <c:v>0.17047538545451188</c:v>
                </c:pt>
                <c:pt idx="97">
                  <c:v>0.16484098849533271</c:v>
                </c:pt>
                <c:pt idx="98">
                  <c:v>0.1564819689130762</c:v>
                </c:pt>
                <c:pt idx="99">
                  <c:v>0.15009016805952027</c:v>
                </c:pt>
                <c:pt idx="100">
                  <c:v>0.14423731967123557</c:v>
                </c:pt>
                <c:pt idx="101">
                  <c:v>0.13767047740064475</c:v>
                </c:pt>
                <c:pt idx="102">
                  <c:v>0.13273505547771647</c:v>
                </c:pt>
                <c:pt idx="103">
                  <c:v>0.12812471556349214</c:v>
                </c:pt>
                <c:pt idx="104">
                  <c:v>0.12468821316003299</c:v>
                </c:pt>
                <c:pt idx="105">
                  <c:v>0.12026746117064112</c:v>
                </c:pt>
                <c:pt idx="106">
                  <c:v>0.11628231600503952</c:v>
                </c:pt>
                <c:pt idx="107">
                  <c:v>0.11246704505459686</c:v>
                </c:pt>
                <c:pt idx="108">
                  <c:v>0.10869701159988379</c:v>
                </c:pt>
                <c:pt idx="109">
                  <c:v>0.10486426497298079</c:v>
                </c:pt>
                <c:pt idx="110">
                  <c:v>0.10058059465621202</c:v>
                </c:pt>
                <c:pt idx="111">
                  <c:v>9.6721942195425584E-2</c:v>
                </c:pt>
                <c:pt idx="112">
                  <c:v>9.3000095381835929E-2</c:v>
                </c:pt>
                <c:pt idx="113">
                  <c:v>9.0105367694122973E-2</c:v>
                </c:pt>
                <c:pt idx="114">
                  <c:v>8.6374578330463733E-2</c:v>
                </c:pt>
                <c:pt idx="115">
                  <c:v>8.2796365469520017E-2</c:v>
                </c:pt>
                <c:pt idx="116">
                  <c:v>8.0020293125622782E-2</c:v>
                </c:pt>
                <c:pt idx="117">
                  <c:v>7.791513442714941E-2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25550976"/>
        <c:axId val="125552512"/>
      </c:barChart>
      <c:lineChart>
        <c:grouping val="standard"/>
        <c:varyColors val="0"/>
        <c:ser>
          <c:idx val="2"/>
          <c:order val="2"/>
          <c:tx>
            <c:strRef>
              <c:f>'Q7 private label'!$G$4</c:f>
              <c:strCache>
                <c:ptCount val="1"/>
                <c:pt idx="0">
                  <c:v>Ratio</c:v>
                </c:pt>
              </c:strCache>
            </c:strRef>
          </c:tx>
          <c:marker>
            <c:symbol val="none"/>
          </c:marker>
          <c:val>
            <c:numRef>
              <c:f>'Q7 private label'!$G$5:$G$122</c:f>
              <c:numCache>
                <c:formatCode>General</c:formatCode>
                <c:ptCount val="118"/>
                <c:pt idx="0">
                  <c:v>25.722999999999999</c:v>
                </c:pt>
                <c:pt idx="1">
                  <c:v>15.511721401347046</c:v>
                </c:pt>
                <c:pt idx="2">
                  <c:v>14.963183747436693</c:v>
                </c:pt>
                <c:pt idx="3">
                  <c:v>15.582069477296972</c:v>
                </c:pt>
                <c:pt idx="4">
                  <c:v>15.011159227181878</c:v>
                </c:pt>
                <c:pt idx="5">
                  <c:v>15.121270414572864</c:v>
                </c:pt>
                <c:pt idx="6">
                  <c:v>15.180555053008646</c:v>
                </c:pt>
                <c:pt idx="7">
                  <c:v>15.495271710175812</c:v>
                </c:pt>
                <c:pt idx="8">
                  <c:v>31.264367816091955</c:v>
                </c:pt>
                <c:pt idx="9">
                  <c:v>30.353189189189184</c:v>
                </c:pt>
                <c:pt idx="10">
                  <c:v>27.984284648386492</c:v>
                </c:pt>
                <c:pt idx="11">
                  <c:v>23.147127870295652</c:v>
                </c:pt>
                <c:pt idx="12">
                  <c:v>23.485323741007196</c:v>
                </c:pt>
                <c:pt idx="13">
                  <c:v>22.571252693136351</c:v>
                </c:pt>
                <c:pt idx="14">
                  <c:v>22.007414875280496</c:v>
                </c:pt>
                <c:pt idx="15">
                  <c:v>21.384387773778293</c:v>
                </c:pt>
                <c:pt idx="16">
                  <c:v>20.754395525598738</c:v>
                </c:pt>
                <c:pt idx="17">
                  <c:v>20.743553446026592</c:v>
                </c:pt>
                <c:pt idx="18">
                  <c:v>20.878998616724079</c:v>
                </c:pt>
                <c:pt idx="19">
                  <c:v>23.790814902775715</c:v>
                </c:pt>
                <c:pt idx="20">
                  <c:v>19.476050778995962</c:v>
                </c:pt>
                <c:pt idx="21">
                  <c:v>23.013761299620068</c:v>
                </c:pt>
                <c:pt idx="22">
                  <c:v>21.394230455171122</c:v>
                </c:pt>
                <c:pt idx="23">
                  <c:v>20.134303851036819</c:v>
                </c:pt>
                <c:pt idx="24">
                  <c:v>18.010221883007141</c:v>
                </c:pt>
                <c:pt idx="25">
                  <c:v>17.218753154972237</c:v>
                </c:pt>
                <c:pt idx="26">
                  <c:v>14.604592040830401</c:v>
                </c:pt>
                <c:pt idx="27">
                  <c:v>12.994887736251243</c:v>
                </c:pt>
                <c:pt idx="28">
                  <c:v>11.685388496050946</c:v>
                </c:pt>
                <c:pt idx="29">
                  <c:v>10.80533027479987</c:v>
                </c:pt>
                <c:pt idx="30">
                  <c:v>10.231496906439062</c:v>
                </c:pt>
                <c:pt idx="31">
                  <c:v>9.2324922760041197</c:v>
                </c:pt>
                <c:pt idx="32">
                  <c:v>8.773670966154711</c:v>
                </c:pt>
                <c:pt idx="33">
                  <c:v>8.7483419110340517</c:v>
                </c:pt>
                <c:pt idx="34">
                  <c:v>8.3117579381845363</c:v>
                </c:pt>
                <c:pt idx="35">
                  <c:v>7.976597664705344</c:v>
                </c:pt>
                <c:pt idx="36">
                  <c:v>7.946953227833399</c:v>
                </c:pt>
                <c:pt idx="37">
                  <c:v>7.6661706084090495</c:v>
                </c:pt>
                <c:pt idx="38">
                  <c:v>7.7895230519372909</c:v>
                </c:pt>
                <c:pt idx="39">
                  <c:v>7.8654185856301426</c:v>
                </c:pt>
                <c:pt idx="40">
                  <c:v>7.9211626102446973</c:v>
                </c:pt>
                <c:pt idx="41">
                  <c:v>7.836875467072403</c:v>
                </c:pt>
                <c:pt idx="42">
                  <c:v>7.8030601017741725</c:v>
                </c:pt>
                <c:pt idx="43">
                  <c:v>7.9271069520974518</c:v>
                </c:pt>
                <c:pt idx="44">
                  <c:v>7.9655757926083437</c:v>
                </c:pt>
                <c:pt idx="45">
                  <c:v>7.8173110397167216</c:v>
                </c:pt>
                <c:pt idx="46">
                  <c:v>7.753546967906785</c:v>
                </c:pt>
                <c:pt idx="47">
                  <c:v>7.7073803723153027</c:v>
                </c:pt>
                <c:pt idx="48">
                  <c:v>7.7953630483336971</c:v>
                </c:pt>
                <c:pt idx="49">
                  <c:v>7.597343438301511</c:v>
                </c:pt>
                <c:pt idx="50">
                  <c:v>7.5387607389816305</c:v>
                </c:pt>
                <c:pt idx="51">
                  <c:v>7.1965532518891067</c:v>
                </c:pt>
                <c:pt idx="52">
                  <c:v>7.045011110935997</c:v>
                </c:pt>
                <c:pt idx="53">
                  <c:v>6.7219202629152663</c:v>
                </c:pt>
                <c:pt idx="54">
                  <c:v>6.4942287039000126</c:v>
                </c:pt>
                <c:pt idx="55">
                  <c:v>6.2751294899040122</c:v>
                </c:pt>
                <c:pt idx="56">
                  <c:v>6.1210212850569645</c:v>
                </c:pt>
                <c:pt idx="57">
                  <c:v>6.1724240137960766</c:v>
                </c:pt>
                <c:pt idx="58">
                  <c:v>6.1683352108678839</c:v>
                </c:pt>
                <c:pt idx="59">
                  <c:v>6.2872862073813502</c:v>
                </c:pt>
                <c:pt idx="60">
                  <c:v>6.3174188113437966</c:v>
                </c:pt>
                <c:pt idx="61">
                  <c:v>6.3865885115341845</c:v>
                </c:pt>
                <c:pt idx="62">
                  <c:v>6.4485286470411323</c:v>
                </c:pt>
                <c:pt idx="63">
                  <c:v>6.3724155873720498</c:v>
                </c:pt>
                <c:pt idx="64">
                  <c:v>6.3030259721698902</c:v>
                </c:pt>
                <c:pt idx="65">
                  <c:v>6.1192281339370824</c:v>
                </c:pt>
                <c:pt idx="66">
                  <c:v>6.102577357654531</c:v>
                </c:pt>
                <c:pt idx="67">
                  <c:v>6.0732687843270474</c:v>
                </c:pt>
                <c:pt idx="68">
                  <c:v>5.9248198422501446</c:v>
                </c:pt>
                <c:pt idx="69">
                  <c:v>5.8020531208123556</c:v>
                </c:pt>
                <c:pt idx="70">
                  <c:v>5.6741926440260073</c:v>
                </c:pt>
                <c:pt idx="71">
                  <c:v>5.5238485052970043</c:v>
                </c:pt>
                <c:pt idx="72">
                  <c:v>5.6153421775166148</c:v>
                </c:pt>
                <c:pt idx="73">
                  <c:v>5.4912614448071873</c:v>
                </c:pt>
                <c:pt idx="74">
                  <c:v>5.4519271842503647</c:v>
                </c:pt>
                <c:pt idx="75">
                  <c:v>5.2950968307003601</c:v>
                </c:pt>
                <c:pt idx="76">
                  <c:v>4.8330535796759841</c:v>
                </c:pt>
                <c:pt idx="77">
                  <c:v>4.3616409709858823</c:v>
                </c:pt>
                <c:pt idx="78">
                  <c:v>3.8998842571812617</c:v>
                </c:pt>
                <c:pt idx="79">
                  <c:v>3.4280959746647994</c:v>
                </c:pt>
                <c:pt idx="80">
                  <c:v>3.0941564664064085</c:v>
                </c:pt>
                <c:pt idx="81">
                  <c:v>2.802603121572941</c:v>
                </c:pt>
                <c:pt idx="82">
                  <c:v>2.5254007388012902</c:v>
                </c:pt>
                <c:pt idx="83">
                  <c:v>2.2703326461523798</c:v>
                </c:pt>
                <c:pt idx="84">
                  <c:v>2.0895142231098398</c:v>
                </c:pt>
                <c:pt idx="85">
                  <c:v>1.966092389668588</c:v>
                </c:pt>
                <c:pt idx="86">
                  <c:v>1.8538208961227629</c:v>
                </c:pt>
                <c:pt idx="87">
                  <c:v>1.7755163195698058</c:v>
                </c:pt>
                <c:pt idx="88">
                  <c:v>1.7254579980173288</c:v>
                </c:pt>
                <c:pt idx="89">
                  <c:v>1.7071283924907954</c:v>
                </c:pt>
                <c:pt idx="90">
                  <c:v>1.7086955981424272</c:v>
                </c:pt>
                <c:pt idx="91">
                  <c:v>1.8094651805208117</c:v>
                </c:pt>
                <c:pt idx="92">
                  <c:v>1.9757228484697023</c:v>
                </c:pt>
                <c:pt idx="93">
                  <c:v>2.0915928185702066</c:v>
                </c:pt>
                <c:pt idx="94">
                  <c:v>2.2569740272933529</c:v>
                </c:pt>
                <c:pt idx="95">
                  <c:v>2.4147634136696117</c:v>
                </c:pt>
                <c:pt idx="96">
                  <c:v>2.558317019470389</c:v>
                </c:pt>
                <c:pt idx="97">
                  <c:v>2.6919276487138895</c:v>
                </c:pt>
                <c:pt idx="98">
                  <c:v>2.9217867949141412</c:v>
                </c:pt>
                <c:pt idx="99">
                  <c:v>3.1442221922126876</c:v>
                </c:pt>
                <c:pt idx="100">
                  <c:v>3.3383642807382756</c:v>
                </c:pt>
                <c:pt idx="101">
                  <c:v>0.6195744554856536</c:v>
                </c:pt>
                <c:pt idx="102">
                  <c:v>0.69015783236712025</c:v>
                </c:pt>
                <c:pt idx="103">
                  <c:v>0.75398563952780828</c:v>
                </c:pt>
                <c:pt idx="104">
                  <c:v>0.82074729136253921</c:v>
                </c:pt>
                <c:pt idx="105">
                  <c:v>0.89102668327279566</c:v>
                </c:pt>
                <c:pt idx="106">
                  <c:v>0.96339370193610241</c:v>
                </c:pt>
                <c:pt idx="107">
                  <c:v>1.0351696083002424</c:v>
                </c:pt>
                <c:pt idx="108">
                  <c:v>1.0972070807217063</c:v>
                </c:pt>
                <c:pt idx="109">
                  <c:v>1.1634669728592615</c:v>
                </c:pt>
                <c:pt idx="110">
                  <c:v>1.2586292594024411</c:v>
                </c:pt>
                <c:pt idx="111">
                  <c:v>1.3414002013625463</c:v>
                </c:pt>
                <c:pt idx="112">
                  <c:v>1.4239540285360925</c:v>
                </c:pt>
                <c:pt idx="113">
                  <c:v>1.4981226603116193</c:v>
                </c:pt>
                <c:pt idx="114">
                  <c:v>1.5968426429044789</c:v>
                </c:pt>
                <c:pt idx="115">
                  <c:v>1.7054465334041382</c:v>
                </c:pt>
                <c:pt idx="116">
                  <c:v>1.7955655436013589</c:v>
                </c:pt>
                <c:pt idx="117">
                  <c:v>1.8656716612360875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8288640"/>
        <c:axId val="128286720"/>
      </c:lineChart>
      <c:catAx>
        <c:axId val="125550976"/>
        <c:scaling>
          <c:orientation val="minMax"/>
        </c:scaling>
        <c:delete val="0"/>
        <c:axPos val="b"/>
        <c:majorTickMark val="out"/>
        <c:minorTickMark val="none"/>
        <c:tickLblPos val="nextTo"/>
        <c:crossAx val="125552512"/>
        <c:crosses val="autoZero"/>
        <c:auto val="1"/>
        <c:lblAlgn val="ctr"/>
        <c:lblOffset val="100"/>
        <c:noMultiLvlLbl val="0"/>
      </c:catAx>
      <c:valAx>
        <c:axId val="125552512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Market Size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25550976"/>
        <c:crosses val="autoZero"/>
        <c:crossBetween val="between"/>
      </c:valAx>
      <c:valAx>
        <c:axId val="128286720"/>
        <c:scaling>
          <c:orientation val="minMax"/>
        </c:scaling>
        <c:delete val="0"/>
        <c:axPos val="r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Agency/Private Ratio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28288640"/>
        <c:crosses val="max"/>
        <c:crossBetween val="between"/>
      </c:valAx>
      <c:catAx>
        <c:axId val="128288640"/>
        <c:scaling>
          <c:orientation val="minMax"/>
        </c:scaling>
        <c:delete val="1"/>
        <c:axPos val="b"/>
        <c:majorTickMark val="out"/>
        <c:minorTickMark val="none"/>
        <c:tickLblPos val="nextTo"/>
        <c:crossAx val="128286720"/>
        <c:crosses val="autoZero"/>
        <c:auto val="1"/>
        <c:lblAlgn val="ctr"/>
        <c:lblOffset val="100"/>
        <c:noMultiLvlLbl val="0"/>
      </c:catAx>
    </c:plotArea>
    <c:legend>
      <c:legendPos val="b"/>
      <c:overlay val="0"/>
    </c:legend>
    <c:plotVisOnly val="1"/>
    <c:dispBlanksAs val="gap"/>
    <c:showDLblsOverMax val="0"/>
  </c:chart>
  <c:txPr>
    <a:bodyPr/>
    <a:lstStyle/>
    <a:p>
      <a:pPr>
        <a:defRPr sz="700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A42726-C6FD-455A-8A90-0A041A6D4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6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6</cp:revision>
  <dcterms:created xsi:type="dcterms:W3CDTF">2014-07-29T14:20:00Z</dcterms:created>
  <dcterms:modified xsi:type="dcterms:W3CDTF">2014-07-29T19:33:00Z</dcterms:modified>
</cp:coreProperties>
</file>