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0111" w:rsidRDefault="00AC0111">
      <w:pPr>
        <w:rPr>
          <w:noProof/>
        </w:rPr>
      </w:pPr>
    </w:p>
    <w:p w:rsidR="00AB2A22" w:rsidRDefault="007F1FE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7AF71B" wp14:editId="1A66A047">
                <wp:simplePos x="0" y="0"/>
                <wp:positionH relativeFrom="column">
                  <wp:posOffset>3648710</wp:posOffset>
                </wp:positionH>
                <wp:positionV relativeFrom="paragraph">
                  <wp:posOffset>2484120</wp:posOffset>
                </wp:positionV>
                <wp:extent cx="1600200" cy="419100"/>
                <wp:effectExtent l="0" t="0" r="19050" b="19050"/>
                <wp:wrapNone/>
                <wp:docPr id="3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lt1">
                              <a:shade val="5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F1FE0" w:rsidRDefault="007F1FE0" w:rsidP="007F1FE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sz w:val="21"/>
                                <w:szCs w:val="21"/>
                              </w:rPr>
                              <w:t>With a slop of 3.21</w:t>
                            </w:r>
                          </w:p>
                        </w:txbxContent>
                      </wps:txbx>
                      <wps:bodyPr vertOverflow="clip" horzOverflow="clip" wrap="square" rtlCol="0" anchor="ctr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287.3pt;margin-top:195.6pt;width:126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" fillcolor="white [3201]" strokecolor="#7f7f7f [1601]">
                <v:textbox>
                  <w:txbxContent>
                    <w:p w:rsidR="007F1FE0" w:rsidRDefault="007F1FE0" w:rsidP="007F1FE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color w:val="000000" w:themeColor="dark1"/>
                          <w:sz w:val="21"/>
                          <w:szCs w:val="21"/>
                        </w:rPr>
                        <w:t xml:space="preserve">With a slop of </w:t>
                      </w:r>
                      <w:r>
                        <w:rPr>
                          <w:rFonts w:asciiTheme="minorHAnsi" w:hAnsi="Calibri" w:cstheme="minorBidi"/>
                          <w:color w:val="000000" w:themeColor="dark1"/>
                          <w:sz w:val="21"/>
                          <w:szCs w:val="21"/>
                        </w:rPr>
                        <w:t>3.21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noProof/>
        </w:rPr>
        <w:drawing>
          <wp:inline distT="0" distB="0" distL="0" distR="0" wp14:anchorId="6DE97D2A" wp14:editId="3173972A">
            <wp:extent cx="5867400" cy="3548063"/>
            <wp:effectExtent l="0" t="0" r="19050" b="1460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bookmarkEnd w:id="0"/>
    </w:p>
    <w:p w:rsidR="007F1FE0" w:rsidRDefault="007F1FE0"/>
    <w:p w:rsidR="007F1FE0" w:rsidRDefault="007F1FE0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Style w:val="apple-converted-space"/>
          <w:rFonts w:ascii="Arial" w:hAnsi="Arial" w:cs="Arial"/>
          <w:color w:val="222222"/>
          <w:sz w:val="19"/>
          <w:szCs w:val="19"/>
          <w:shd w:val="clear" w:color="auto" w:fill="FFFFFF"/>
        </w:rPr>
        <w:t>Closing Rate: A</w:t>
      </w: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data series shows the "percentage of loan applications in previous 90-day cycle that have closed" from Ellie Mae.</w:t>
      </w:r>
    </w:p>
    <w:p w:rsidR="007F1FE0" w:rsidRDefault="007F1FE0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Using all purchase loans closing rate, with a lag of two months, a simple linear regression shows </w:t>
      </w:r>
      <w:proofErr w:type="gramStart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a</w:t>
      </w:r>
      <w:proofErr w:type="gramEnd"/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 R-squared of 0.773.</w:t>
      </w:r>
    </w:p>
    <w:p w:rsidR="007F1FE0" w:rsidRDefault="007F1FE0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The slop between these two curves is 3.21. Meaning that, every 1 percent increase in closing rate, we will expect 3.21 points increase in our index two months later.</w:t>
      </w:r>
    </w:p>
    <w:p w:rsidR="002029B3" w:rsidRPr="00147EDF" w:rsidRDefault="002029B3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sectPr w:rsidR="002029B3" w:rsidRPr="00147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0111"/>
    <w:rsid w:val="00147EDF"/>
    <w:rsid w:val="002029B3"/>
    <w:rsid w:val="00334346"/>
    <w:rsid w:val="00614FEF"/>
    <w:rsid w:val="007F1FE0"/>
    <w:rsid w:val="00AB2A22"/>
    <w:rsid w:val="00AC0111"/>
    <w:rsid w:val="00B1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01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11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F1FE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7F1FE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01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11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F1FE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7F1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tmp\CreditAvailabilityRegression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Sheet2!$C$2</c:f>
              <c:strCache>
                <c:ptCount val="1"/>
                <c:pt idx="0">
                  <c:v>Credit Availability Index</c:v>
                </c:pt>
              </c:strCache>
            </c:strRef>
          </c:tx>
          <c:marker>
            <c:symbol val="none"/>
          </c:marker>
          <c:cat>
            <c:strRef>
              <c:f>Sheet2!$B$3:$B$43</c:f>
              <c:strCache>
                <c:ptCount val="41"/>
                <c:pt idx="0">
                  <c:v>2012-01-01</c:v>
                </c:pt>
                <c:pt idx="1">
                  <c:v>2012-02-01</c:v>
                </c:pt>
                <c:pt idx="2">
                  <c:v>2012-03-01</c:v>
                </c:pt>
                <c:pt idx="3">
                  <c:v>2012-04-01</c:v>
                </c:pt>
                <c:pt idx="4">
                  <c:v>2012-05-01</c:v>
                </c:pt>
                <c:pt idx="5">
                  <c:v>2012-06-01</c:v>
                </c:pt>
                <c:pt idx="6">
                  <c:v>2012-07-01</c:v>
                </c:pt>
                <c:pt idx="7">
                  <c:v>2012-08-01</c:v>
                </c:pt>
                <c:pt idx="8">
                  <c:v>2012-09-01</c:v>
                </c:pt>
                <c:pt idx="9">
                  <c:v>2012-10-01</c:v>
                </c:pt>
                <c:pt idx="10">
                  <c:v>2012-11-01</c:v>
                </c:pt>
                <c:pt idx="11">
                  <c:v>2012-12-01</c:v>
                </c:pt>
                <c:pt idx="12">
                  <c:v>2013-01-01</c:v>
                </c:pt>
                <c:pt idx="13">
                  <c:v>2013-02-01</c:v>
                </c:pt>
                <c:pt idx="14">
                  <c:v>2013-03-01</c:v>
                </c:pt>
                <c:pt idx="15">
                  <c:v>2013-04-01</c:v>
                </c:pt>
                <c:pt idx="16">
                  <c:v>2013-05-01</c:v>
                </c:pt>
                <c:pt idx="17">
                  <c:v>2013-06-01</c:v>
                </c:pt>
                <c:pt idx="18">
                  <c:v>2013-07-01</c:v>
                </c:pt>
                <c:pt idx="19">
                  <c:v>2013-08-01</c:v>
                </c:pt>
                <c:pt idx="20">
                  <c:v>2013-09-01</c:v>
                </c:pt>
                <c:pt idx="21">
                  <c:v>2013-10-01</c:v>
                </c:pt>
                <c:pt idx="22">
                  <c:v>2013-11-01</c:v>
                </c:pt>
                <c:pt idx="23">
                  <c:v>2013-12-01</c:v>
                </c:pt>
                <c:pt idx="24">
                  <c:v>2014-01-01</c:v>
                </c:pt>
                <c:pt idx="25">
                  <c:v>2014-02-01</c:v>
                </c:pt>
                <c:pt idx="26">
                  <c:v>2014-03-01</c:v>
                </c:pt>
                <c:pt idx="27">
                  <c:v>2014-04-01</c:v>
                </c:pt>
                <c:pt idx="28">
                  <c:v>2014-05-01</c:v>
                </c:pt>
                <c:pt idx="29">
                  <c:v>2014-06-01</c:v>
                </c:pt>
                <c:pt idx="30">
                  <c:v>2014-07-01</c:v>
                </c:pt>
                <c:pt idx="31">
                  <c:v>2014-08-01</c:v>
                </c:pt>
                <c:pt idx="32">
                  <c:v>2014-09-01</c:v>
                </c:pt>
                <c:pt idx="33">
                  <c:v>2014-10-01</c:v>
                </c:pt>
                <c:pt idx="34">
                  <c:v>2014-11-01</c:v>
                </c:pt>
                <c:pt idx="35">
                  <c:v>2014-12-01</c:v>
                </c:pt>
                <c:pt idx="36">
                  <c:v>2015-01-01</c:v>
                </c:pt>
                <c:pt idx="37">
                  <c:v>2015-02-01</c:v>
                </c:pt>
                <c:pt idx="38">
                  <c:v>2015-03-01</c:v>
                </c:pt>
                <c:pt idx="39">
                  <c:v>2015-04-01</c:v>
                </c:pt>
                <c:pt idx="40">
                  <c:v>2015-05-01</c:v>
                </c:pt>
              </c:strCache>
            </c:strRef>
          </c:cat>
          <c:val>
            <c:numRef>
              <c:f>Sheet2!$C$3:$C$43</c:f>
              <c:numCache>
                <c:formatCode>General</c:formatCode>
                <c:ptCount val="41"/>
                <c:pt idx="0">
                  <c:v>91.006815130531322</c:v>
                </c:pt>
                <c:pt idx="1">
                  <c:v>89.821262032243325</c:v>
                </c:pt>
                <c:pt idx="2">
                  <c:v>89.588055605596679</c:v>
                </c:pt>
                <c:pt idx="3">
                  <c:v>88.207712612866004</c:v>
                </c:pt>
                <c:pt idx="4">
                  <c:v>86.395526369552684</c:v>
                </c:pt>
                <c:pt idx="5">
                  <c:v>91.214547254206664</c:v>
                </c:pt>
                <c:pt idx="6">
                  <c:v>94.605522683989335</c:v>
                </c:pt>
                <c:pt idx="7">
                  <c:v>95.017316705703337</c:v>
                </c:pt>
                <c:pt idx="8">
                  <c:v>95.541241237618678</c:v>
                </c:pt>
                <c:pt idx="9">
                  <c:v>92.793325419672001</c:v>
                </c:pt>
                <c:pt idx="10">
                  <c:v>97.733261398078</c:v>
                </c:pt>
                <c:pt idx="11">
                  <c:v>96.944795637633348</c:v>
                </c:pt>
                <c:pt idx="12">
                  <c:v>95.567684397638004</c:v>
                </c:pt>
                <c:pt idx="13">
                  <c:v>94.209298256365997</c:v>
                </c:pt>
                <c:pt idx="14">
                  <c:v>93.249310528408017</c:v>
                </c:pt>
                <c:pt idx="15">
                  <c:v>93.875643929005335</c:v>
                </c:pt>
                <c:pt idx="16">
                  <c:v>98.911323556058008</c:v>
                </c:pt>
                <c:pt idx="17">
                  <c:v>102.75804387825733</c:v>
                </c:pt>
                <c:pt idx="18">
                  <c:v>90.983751261809999</c:v>
                </c:pt>
                <c:pt idx="19">
                  <c:v>83.132801566099346</c:v>
                </c:pt>
                <c:pt idx="20">
                  <c:v>91.789744827140012</c:v>
                </c:pt>
                <c:pt idx="21">
                  <c:v>101.0422697317</c:v>
                </c:pt>
                <c:pt idx="22">
                  <c:v>110.67964213365467</c:v>
                </c:pt>
                <c:pt idx="23">
                  <c:v>116.03520622914067</c:v>
                </c:pt>
                <c:pt idx="24">
                  <c:v>104.65457152151936</c:v>
                </c:pt>
                <c:pt idx="25">
                  <c:v>103.443008255088</c:v>
                </c:pt>
                <c:pt idx="26">
                  <c:v>112.56509487375732</c:v>
                </c:pt>
                <c:pt idx="27">
                  <c:v>115.83966956351601</c:v>
                </c:pt>
                <c:pt idx="28">
                  <c:v>114.0551020892207</c:v>
                </c:pt>
                <c:pt idx="29">
                  <c:v>120.550482038596</c:v>
                </c:pt>
                <c:pt idx="30">
                  <c:v>123.90837721749735</c:v>
                </c:pt>
                <c:pt idx="31">
                  <c:v>118.83447141920401</c:v>
                </c:pt>
                <c:pt idx="32">
                  <c:v>118.72124305055667</c:v>
                </c:pt>
                <c:pt idx="33">
                  <c:v>119.21321872111734</c:v>
                </c:pt>
                <c:pt idx="34">
                  <c:v>123.00335064196068</c:v>
                </c:pt>
                <c:pt idx="35">
                  <c:v>125.65339912101734</c:v>
                </c:pt>
                <c:pt idx="36">
                  <c:v>124.43843247079067</c:v>
                </c:pt>
                <c:pt idx="37">
                  <c:v>130.01612137025401</c:v>
                </c:pt>
                <c:pt idx="38">
                  <c:v>129.02062894963532</c:v>
                </c:pt>
                <c:pt idx="39">
                  <c:v>118.20146866043932</c:v>
                </c:pt>
                <c:pt idx="40">
                  <c:v>119.40015808680199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3258624"/>
        <c:axId val="133268608"/>
      </c:lineChart>
      <c:lineChart>
        <c:grouping val="standard"/>
        <c:varyColors val="0"/>
        <c:ser>
          <c:idx val="1"/>
          <c:order val="1"/>
          <c:tx>
            <c:strRef>
              <c:f>Sheet2!$D$2</c:f>
              <c:strCache>
                <c:ptCount val="1"/>
                <c:pt idx="0">
                  <c:v>Closing Rate %</c:v>
                </c:pt>
              </c:strCache>
            </c:strRef>
          </c:tx>
          <c:marker>
            <c:symbol val="none"/>
          </c:marker>
          <c:cat>
            <c:strRef>
              <c:f>Sheet2!$B$3:$B$43</c:f>
              <c:strCache>
                <c:ptCount val="41"/>
                <c:pt idx="0">
                  <c:v>2012-01-01</c:v>
                </c:pt>
                <c:pt idx="1">
                  <c:v>2012-02-01</c:v>
                </c:pt>
                <c:pt idx="2">
                  <c:v>2012-03-01</c:v>
                </c:pt>
                <c:pt idx="3">
                  <c:v>2012-04-01</c:v>
                </c:pt>
                <c:pt idx="4">
                  <c:v>2012-05-01</c:v>
                </c:pt>
                <c:pt idx="5">
                  <c:v>2012-06-01</c:v>
                </c:pt>
                <c:pt idx="6">
                  <c:v>2012-07-01</c:v>
                </c:pt>
                <c:pt idx="7">
                  <c:v>2012-08-01</c:v>
                </c:pt>
                <c:pt idx="8">
                  <c:v>2012-09-01</c:v>
                </c:pt>
                <c:pt idx="9">
                  <c:v>2012-10-01</c:v>
                </c:pt>
                <c:pt idx="10">
                  <c:v>2012-11-01</c:v>
                </c:pt>
                <c:pt idx="11">
                  <c:v>2012-12-01</c:v>
                </c:pt>
                <c:pt idx="12">
                  <c:v>2013-01-01</c:v>
                </c:pt>
                <c:pt idx="13">
                  <c:v>2013-02-01</c:v>
                </c:pt>
                <c:pt idx="14">
                  <c:v>2013-03-01</c:v>
                </c:pt>
                <c:pt idx="15">
                  <c:v>2013-04-01</c:v>
                </c:pt>
                <c:pt idx="16">
                  <c:v>2013-05-01</c:v>
                </c:pt>
                <c:pt idx="17">
                  <c:v>2013-06-01</c:v>
                </c:pt>
                <c:pt idx="18">
                  <c:v>2013-07-01</c:v>
                </c:pt>
                <c:pt idx="19">
                  <c:v>2013-08-01</c:v>
                </c:pt>
                <c:pt idx="20">
                  <c:v>2013-09-01</c:v>
                </c:pt>
                <c:pt idx="21">
                  <c:v>2013-10-01</c:v>
                </c:pt>
                <c:pt idx="22">
                  <c:v>2013-11-01</c:v>
                </c:pt>
                <c:pt idx="23">
                  <c:v>2013-12-01</c:v>
                </c:pt>
                <c:pt idx="24">
                  <c:v>2014-01-01</c:v>
                </c:pt>
                <c:pt idx="25">
                  <c:v>2014-02-01</c:v>
                </c:pt>
                <c:pt idx="26">
                  <c:v>2014-03-01</c:v>
                </c:pt>
                <c:pt idx="27">
                  <c:v>2014-04-01</c:v>
                </c:pt>
                <c:pt idx="28">
                  <c:v>2014-05-01</c:v>
                </c:pt>
                <c:pt idx="29">
                  <c:v>2014-06-01</c:v>
                </c:pt>
                <c:pt idx="30">
                  <c:v>2014-07-01</c:v>
                </c:pt>
                <c:pt idx="31">
                  <c:v>2014-08-01</c:v>
                </c:pt>
                <c:pt idx="32">
                  <c:v>2014-09-01</c:v>
                </c:pt>
                <c:pt idx="33">
                  <c:v>2014-10-01</c:v>
                </c:pt>
                <c:pt idx="34">
                  <c:v>2014-11-01</c:v>
                </c:pt>
                <c:pt idx="35">
                  <c:v>2014-12-01</c:v>
                </c:pt>
                <c:pt idx="36">
                  <c:v>2015-01-01</c:v>
                </c:pt>
                <c:pt idx="37">
                  <c:v>2015-02-01</c:v>
                </c:pt>
                <c:pt idx="38">
                  <c:v>2015-03-01</c:v>
                </c:pt>
                <c:pt idx="39">
                  <c:v>2015-04-01</c:v>
                </c:pt>
                <c:pt idx="40">
                  <c:v>2015-05-01</c:v>
                </c:pt>
              </c:strCache>
            </c:strRef>
          </c:cat>
          <c:val>
            <c:numRef>
              <c:f>Sheet2!$D$3:$D$43</c:f>
              <c:numCache>
                <c:formatCode>General</c:formatCode>
                <c:ptCount val="41"/>
                <c:pt idx="0">
                  <c:v>56.399999999999991</c:v>
                </c:pt>
                <c:pt idx="1">
                  <c:v>55.2</c:v>
                </c:pt>
                <c:pt idx="2">
                  <c:v>56.8</c:v>
                </c:pt>
                <c:pt idx="3">
                  <c:v>57.8</c:v>
                </c:pt>
                <c:pt idx="4">
                  <c:v>58.699999999999996</c:v>
                </c:pt>
                <c:pt idx="5">
                  <c:v>60.099999999999994</c:v>
                </c:pt>
                <c:pt idx="6">
                  <c:v>61</c:v>
                </c:pt>
                <c:pt idx="7">
                  <c:v>61.199999999999996</c:v>
                </c:pt>
                <c:pt idx="8">
                  <c:v>60.8</c:v>
                </c:pt>
                <c:pt idx="9">
                  <c:v>61.3</c:v>
                </c:pt>
                <c:pt idx="10">
                  <c:v>60.8</c:v>
                </c:pt>
                <c:pt idx="11">
                  <c:v>61.7</c:v>
                </c:pt>
                <c:pt idx="12">
                  <c:v>59.7</c:v>
                </c:pt>
                <c:pt idx="13">
                  <c:v>58.2</c:v>
                </c:pt>
                <c:pt idx="14">
                  <c:v>60.7</c:v>
                </c:pt>
                <c:pt idx="15">
                  <c:v>60.4</c:v>
                </c:pt>
                <c:pt idx="16">
                  <c:v>61.4</c:v>
                </c:pt>
                <c:pt idx="17">
                  <c:v>61.5</c:v>
                </c:pt>
                <c:pt idx="18">
                  <c:v>59.6</c:v>
                </c:pt>
                <c:pt idx="19">
                  <c:v>56.9</c:v>
                </c:pt>
                <c:pt idx="20">
                  <c:v>59.1</c:v>
                </c:pt>
                <c:pt idx="21">
                  <c:v>60.7</c:v>
                </c:pt>
                <c:pt idx="22">
                  <c:v>61.6</c:v>
                </c:pt>
                <c:pt idx="23">
                  <c:v>62</c:v>
                </c:pt>
                <c:pt idx="24">
                  <c:v>60.7</c:v>
                </c:pt>
                <c:pt idx="25">
                  <c:v>58.8</c:v>
                </c:pt>
                <c:pt idx="26">
                  <c:v>61.6</c:v>
                </c:pt>
                <c:pt idx="27">
                  <c:v>63.6</c:v>
                </c:pt>
                <c:pt idx="28">
                  <c:v>61.7</c:v>
                </c:pt>
                <c:pt idx="29">
                  <c:v>65.099999999999994</c:v>
                </c:pt>
                <c:pt idx="30">
                  <c:v>64.3</c:v>
                </c:pt>
                <c:pt idx="31">
                  <c:v>66.099999999999994</c:v>
                </c:pt>
                <c:pt idx="32">
                  <c:v>66.5</c:v>
                </c:pt>
                <c:pt idx="33">
                  <c:v>67.099999999999994</c:v>
                </c:pt>
                <c:pt idx="34">
                  <c:v>68.3</c:v>
                </c:pt>
                <c:pt idx="35">
                  <c:v>67.2</c:v>
                </c:pt>
                <c:pt idx="36">
                  <c:v>67.5</c:v>
                </c:pt>
                <c:pt idx="37">
                  <c:v>66.5</c:v>
                </c:pt>
                <c:pt idx="38">
                  <c:v>68.2</c:v>
                </c:pt>
                <c:pt idx="39">
                  <c:v>69</c:v>
                </c:pt>
                <c:pt idx="40">
                  <c:v>70.7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3272704"/>
        <c:axId val="133270528"/>
      </c:lineChart>
      <c:catAx>
        <c:axId val="133258624"/>
        <c:scaling>
          <c:orientation val="minMax"/>
        </c:scaling>
        <c:delete val="0"/>
        <c:axPos val="b"/>
        <c:majorTickMark val="out"/>
        <c:minorTickMark val="none"/>
        <c:tickLblPos val="nextTo"/>
        <c:crossAx val="133268608"/>
        <c:crosses val="autoZero"/>
        <c:auto val="1"/>
        <c:lblAlgn val="ctr"/>
        <c:lblOffset val="100"/>
        <c:tickLblSkip val="6"/>
        <c:tickMarkSkip val="6"/>
        <c:noMultiLvlLbl val="0"/>
      </c:catAx>
      <c:valAx>
        <c:axId val="133268608"/>
        <c:scaling>
          <c:orientation val="minMax"/>
          <c:min val="50"/>
        </c:scaling>
        <c:delete val="0"/>
        <c:axPos val="l"/>
        <c:maj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Credit Availability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133258624"/>
        <c:crosses val="autoZero"/>
        <c:crossBetween val="between"/>
      </c:valAx>
      <c:valAx>
        <c:axId val="133270528"/>
        <c:scaling>
          <c:orientation val="minMax"/>
          <c:min val="40"/>
        </c:scaling>
        <c:delete val="0"/>
        <c:axPos val="r"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Closing Rate</a:t>
                </a:r>
              </a:p>
            </c:rich>
          </c:tx>
          <c:layout/>
          <c:overlay val="0"/>
        </c:title>
        <c:numFmt formatCode="General" sourceLinked="1"/>
        <c:majorTickMark val="out"/>
        <c:minorTickMark val="none"/>
        <c:tickLblPos val="nextTo"/>
        <c:crossAx val="133272704"/>
        <c:crosses val="max"/>
        <c:crossBetween val="between"/>
      </c:valAx>
      <c:catAx>
        <c:axId val="133272704"/>
        <c:scaling>
          <c:orientation val="minMax"/>
        </c:scaling>
        <c:delete val="1"/>
        <c:axPos val="b"/>
        <c:majorTickMark val="out"/>
        <c:minorTickMark val="none"/>
        <c:tickLblPos val="nextTo"/>
        <c:crossAx val="133270528"/>
        <c:crosses val="autoZero"/>
        <c:auto val="1"/>
        <c:lblAlgn val="ctr"/>
        <c:lblOffset val="100"/>
        <c:noMultiLvlLbl val="0"/>
      </c:catAx>
    </c:plotArea>
    <c:legend>
      <c:legendPos val="b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Lien Chen</dc:creator>
  <cp:lastModifiedBy>Lien Chen</cp:lastModifiedBy>
  <cp:revision>3</cp:revision>
  <cp:lastPrinted>2015-08-21T13:52:00Z</cp:lastPrinted>
  <dcterms:created xsi:type="dcterms:W3CDTF">2015-08-21T15:14:00Z</dcterms:created>
  <dcterms:modified xsi:type="dcterms:W3CDTF">2015-08-24T13:33:00Z</dcterms:modified>
</cp:coreProperties>
</file>