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12"/>
          <w:szCs w:val="12"/>
        </w:rPr>
        <w:t xml:space="preserve"/>
      </w:r>
    </w:p>
    <w:p>
      <w:pPr>
        <w:spacing w:after="260" w:line="240"/>
      </w:pPr>
      <w:r>
        <w:rPr>
          <w:b/>
          <w:bCs/>
          <w:color w:val="FF7900"/>
          <w:spacing w:val="60"/>
          <w:sz w:val="22"/>
          <w:szCs w:val="22"/>
        </w:rPr>
        <w:t xml:space="preserve">ORANGE BUSINESS</w:t>
      </w:r>
    </w:p>
    <w:p>
      <w:pPr>
        <w:spacing w:after="200" w:line="660" w:lineRule="exact"/>
      </w:pPr>
      <w:r>
        <w:rPr>
          <w:b/>
          <w:bCs/>
          <w:color w:val="1A1A1A"/>
          <w:sz w:val="56"/>
          <w:szCs w:val="56"/>
        </w:rPr>
        <w:t xml:space="preserve">Opportunity Spaces / Innovation Radar</w:t>
      </w:r>
    </w:p>
    <w:p>
      <w:pPr>
        <w:spacing w:after="500" w:line="380" w:lineRule="exact"/>
      </w:pPr>
      <w:r>
        <w:rPr>
          <w:color w:val="595959"/>
          <w:sz w:val="30"/>
          <w:szCs w:val="30"/>
        </w:rPr>
        <w:t xml:space="preserve">Project requirements and proposed approach</w:t>
      </w:r>
    </w:p>
    <w:p>
      <w:pPr>
        <w:pBdr>
          <w:bottom w:val="single" w:color="FF7900" w:sz="6" w:space="1"/>
        </w:pBdr>
        <w:spacing w:after="160" w:before="80"/>
      </w:pPr>
      <w:r>
        <w:rPr>
          <w:sz w:val="4"/>
          <w:szCs w:val="4"/>
        </w:rPr>
        <w:t xml:space="preserve"/>
      </w:r>
    </w:p>
    <w:p>
      <w:pPr>
        <w:spacing w:after="120" w:line="276"/>
      </w:pPr>
      <w:r>
        <w:rPr>
          <w:b/>
          <w:bCs/>
          <w:i w:val="false"/>
          <w:iCs w:val="false"/>
          <w:sz w:val="20"/>
          <w:szCs w:val="20"/>
        </w:rPr>
        <w:t xml:space="preserve">Document type: </w:t>
      </w:r>
      <w:r>
        <w:rPr>
          <w:sz w:val="20"/>
          <w:szCs w:val="20"/>
        </w:rPr>
        <w:t xml:space="preserve">Requirements specification and approach proposal</w:t>
      </w:r>
    </w:p>
    <w:p>
      <w:pPr>
        <w:spacing w:after="120" w:line="276"/>
      </w:pPr>
      <w:r>
        <w:rPr>
          <w:b/>
          <w:bCs/>
          <w:i w:val="false"/>
          <w:iCs w:val="false"/>
          <w:sz w:val="20"/>
          <w:szCs w:val="20"/>
        </w:rPr>
        <w:t xml:space="preserve">Status: </w:t>
      </w:r>
      <w:r>
        <w:rPr>
          <w:sz w:val="20"/>
          <w:szCs w:val="20"/>
        </w:rPr>
        <w:t xml:space="preserve">Draft v0.1 — for review with the Orange Business project sponsors</w:t>
      </w:r>
    </w:p>
    <w:p>
      <w:pPr>
        <w:spacing w:after="120" w:line="276"/>
      </w:pPr>
      <w:r>
        <w:rPr>
          <w:b/>
          <w:bCs/>
          <w:i w:val="false"/>
          <w:iCs w:val="false"/>
          <w:sz w:val="20"/>
          <w:szCs w:val="20"/>
        </w:rPr>
        <w:t xml:space="preserve">Date: </w:t>
      </w:r>
      <w:r>
        <w:rPr>
          <w:sz w:val="20"/>
          <w:szCs w:val="20"/>
        </w:rPr>
        <w:t xml:space="preserve">17 August 2026</w:t>
      </w:r>
    </w:p>
    <w:p>
      <w:pPr>
        <w:spacing w:after="120" w:line="276"/>
      </w:pPr>
      <w:r>
        <w:rPr>
          <w:b/>
          <w:bCs/>
          <w:i w:val="false"/>
          <w:iCs w:val="false"/>
          <w:sz w:val="20"/>
          <w:szCs w:val="20"/>
        </w:rPr>
        <w:t xml:space="preserve">Prepared by: </w:t>
      </w:r>
      <w:r>
        <w:rPr>
          <w:sz w:val="20"/>
          <w:szCs w:val="20"/>
        </w:rPr>
        <w:t xml:space="preserve">BeCode project team</w:t>
      </w:r>
    </w:p>
    <w:p>
      <w:pPr>
        <w:spacing w:after="400"/>
      </w:pPr>
      <w:r>
        <w:rPr>
          <w:sz w:val="12"/>
          <w:szCs w:val="12"/>
        </w:rPr>
        <w:t xml:space="preserve"/>
      </w:r>
    </w:p>
    <w:p>
      <w:pPr>
        <w:spacing w:after="120" w:line="276"/>
      </w:pPr>
      <w:r>
        <w:rPr>
          <w:i/>
          <w:iCs/>
          <w:sz w:val="20"/>
          <w:szCs w:val="20"/>
        </w:rPr>
        <w:t xml:space="preserve">This document consolidates the Innovation Radar briefing deck, the Orange Business corporate presentation (May 2026) and publicly available information from orange.com and orange-business.com into a single requirements baseline, and proposes an initial approach for delivering a working Minimum Viable Product.</w:t>
      </w:r>
    </w:p>
    <w:p>
      <w:r>
        <w:br w:type="page"/>
      </w:r>
    </w:p>
    <w:p>
      <w:pPr>
        <w:pStyle w:val="Heading1"/>
        <w:spacing w:after="160" w:before="360"/>
      </w:pPr>
      <w:r>
        <w:rPr>
          <w:b/>
          <w:bCs/>
          <w:color w:val="1A1A1A"/>
          <w:sz w:val="32"/>
          <w:szCs w:val="32"/>
        </w:rPr>
        <w:t xml:space="preserve">Contents</w:t>
      </w:r>
    </w:p>
    <w:p>
      <w:pPr>
        <w:spacing w:after="40" w:before="80"/>
      </w:pPr>
      <w:r>
        <w:rPr>
          <w:b/>
          <w:bCs/>
          <w:color w:val="FF7900"/>
          <w:sz w:val="22"/>
          <w:szCs w:val="22"/>
        </w:rPr>
        <w:t xml:space="preserve">1.  </w:t>
      </w:r>
      <w:r>
        <w:rPr>
          <w:b/>
          <w:bCs/>
          <w:sz w:val="22"/>
          <w:szCs w:val="22"/>
        </w:rPr>
        <w:t xml:space="preserve">Introduction</w:t>
      </w:r>
    </w:p>
    <w:p>
      <w:pPr>
        <w:spacing w:after="200" w:line="260"/>
        <w:ind w:left="520"/>
      </w:pPr>
      <w:r>
        <w:rPr>
          <w:color w:val="595959"/>
          <w:sz w:val="18"/>
          <w:szCs w:val="18"/>
        </w:rPr>
        <w:t xml:space="preserve">1.1 Purpose · 1.2 Source material · 1.3 How to read this document</w:t>
      </w:r>
    </w:p>
    <w:p>
      <w:pPr>
        <w:spacing w:after="40" w:before="80"/>
      </w:pPr>
      <w:r>
        <w:rPr>
          <w:b/>
          <w:bCs/>
          <w:color w:val="FF7900"/>
          <w:sz w:val="22"/>
          <w:szCs w:val="22"/>
        </w:rPr>
        <w:t xml:space="preserve">2.  </w:t>
      </w:r>
      <w:r>
        <w:rPr>
          <w:b/>
          <w:bCs/>
          <w:sz w:val="22"/>
          <w:szCs w:val="22"/>
        </w:rPr>
        <w:t xml:space="preserve">Client context</w:t>
      </w:r>
    </w:p>
    <w:p>
      <w:pPr>
        <w:spacing w:after="200" w:line="260"/>
        <w:ind w:left="520"/>
      </w:pPr>
      <w:r>
        <w:rPr>
          <w:color w:val="595959"/>
          <w:sz w:val="18"/>
          <w:szCs w:val="18"/>
        </w:rPr>
        <w:t xml:space="preserve">2.1 The Orange Group · 2.2 Orange Business · 2.3 Strategic frame: Trust the future · 2.4 Governance · 2.5 Innovation model · 2.6 International presence · 2.7 Customers and reference cases · 2.8 Recognition, partners and current offers · 2.9 What this context changes about the requirements</w:t>
      </w:r>
    </w:p>
    <w:p>
      <w:pPr>
        <w:spacing w:after="40" w:before="80"/>
      </w:pPr>
      <w:r>
        <w:rPr>
          <w:b/>
          <w:bCs/>
          <w:color w:val="FF7900"/>
          <w:sz w:val="22"/>
          <w:szCs w:val="22"/>
        </w:rPr>
        <w:t xml:space="preserve">3.  </w:t>
      </w:r>
      <w:r>
        <w:rPr>
          <w:b/>
          <w:bCs/>
          <w:sz w:val="22"/>
          <w:szCs w:val="22"/>
        </w:rPr>
        <w:t xml:space="preserve">Requirements baseline</w:t>
      </w:r>
    </w:p>
    <w:p>
      <w:pPr>
        <w:spacing w:after="200" w:line="260"/>
        <w:ind w:left="520"/>
      </w:pPr>
      <w:r>
        <w:rPr>
          <w:color w:val="595959"/>
          <w:sz w:val="18"/>
          <w:szCs w:val="18"/>
        </w:rPr>
        <w:t xml:space="preserve">3.1 Vision · 3.2 Target users · 3.3 Controlled vocabularies · 3.4 Definition of an opportunity space · 3.5 Functional requirements · 3.6 Data requirements · 3.7 Business-linking requirements · 3.8 Scoring requirements · 3.9 Acceptance criteria · 3.10 Non-functional requirements · 3.11 MVP scope</w:t>
      </w:r>
    </w:p>
    <w:p>
      <w:pPr>
        <w:spacing w:after="40" w:before="80"/>
      </w:pPr>
      <w:r>
        <w:rPr>
          <w:b/>
          <w:bCs/>
          <w:color w:val="FF7900"/>
          <w:sz w:val="22"/>
          <w:szCs w:val="22"/>
        </w:rPr>
        <w:t xml:space="preserve">4.  </w:t>
      </w:r>
      <w:r>
        <w:rPr>
          <w:b/>
          <w:bCs/>
          <w:sz w:val="22"/>
          <w:szCs w:val="22"/>
        </w:rPr>
        <w:t xml:space="preserve">Proposed approach</w:t>
      </w:r>
    </w:p>
    <w:p>
      <w:pPr>
        <w:spacing w:after="200" w:line="260"/>
        <w:ind w:left="520"/>
      </w:pPr>
      <w:r>
        <w:rPr>
          <w:color w:val="595959"/>
          <w:sz w:val="18"/>
          <w:szCs w:val="18"/>
        </w:rPr>
        <w:t xml:space="preserve">4.1 Guiding principles · 4.2 Reference architecture · 4.3 Data sources · 4.4 LLM design · 4.5 Linking opportunity spaces to the Orange business · 4.6 Scoring implementation: the baseline model · 4.7 Learning to score: the machine learning path · 4.8 Lifecycle, watchlist and time horizon · 4.9 User interface · 4.10 Collaboration between the three roles · 4.11 Delivery roadmap · 4.12 Risks · 4.13 Open questions for Orange</w:t>
      </w:r>
    </w:p>
    <w:p>
      <w:pPr>
        <w:spacing w:after="40" w:before="80"/>
      </w:pPr>
      <w:r>
        <w:rPr>
          <w:b/>
          <w:bCs/>
          <w:color w:val="FF7900"/>
          <w:sz w:val="22"/>
          <w:szCs w:val="22"/>
        </w:rPr>
        <w:t xml:space="preserve">A.  </w:t>
      </w:r>
      <w:r>
        <w:rPr>
          <w:b/>
          <w:bCs/>
          <w:sz w:val="22"/>
          <w:szCs w:val="22"/>
        </w:rPr>
        <w:t xml:space="preserve">Free data source catalogue</w:t>
      </w:r>
    </w:p>
    <w:p>
      <w:pPr>
        <w:spacing w:after="40" w:before="80"/>
      </w:pPr>
      <w:r>
        <w:rPr>
          <w:b/>
          <w:bCs/>
          <w:color w:val="FF7900"/>
          <w:sz w:val="22"/>
          <w:szCs w:val="22"/>
        </w:rPr>
        <w:t xml:space="preserve">B.  </w:t>
      </w:r>
      <w:r>
        <w:rPr>
          <w:b/>
          <w:bCs/>
          <w:sz w:val="22"/>
          <w:szCs w:val="22"/>
        </w:rPr>
        <w:t xml:space="preserve">Opportunity space schema</w:t>
      </w:r>
    </w:p>
    <w:p>
      <w:pPr>
        <w:spacing w:after="40" w:before="80"/>
      </w:pPr>
      <w:r>
        <w:rPr>
          <w:b/>
          <w:bCs/>
          <w:color w:val="FF7900"/>
          <w:sz w:val="22"/>
          <w:szCs w:val="22"/>
        </w:rPr>
        <w:t xml:space="preserve">C.  </w:t>
      </w:r>
      <w:r>
        <w:rPr>
          <w:b/>
          <w:bCs/>
          <w:sz w:val="22"/>
          <w:szCs w:val="22"/>
        </w:rPr>
        <w:t xml:space="preserve">Glossary</w:t>
      </w:r>
    </w:p>
    <w:p>
      <w:r>
        <w:br w:type="page"/>
      </w:r>
    </w:p>
    <w:p>
      <w:pPr>
        <w:pStyle w:val="Heading1"/>
        <w:spacing w:after="160" w:before="360"/>
      </w:pPr>
      <w:r>
        <w:rPr>
          <w:b/>
          <w:bCs/>
          <w:color w:val="1A1A1A"/>
          <w:sz w:val="32"/>
          <w:szCs w:val="32"/>
        </w:rPr>
        <w:t xml:space="preserve">1. Introduction</w:t>
      </w:r>
    </w:p>
    <w:p>
      <w:pPr>
        <w:pStyle w:val="Heading2"/>
        <w:spacing w:after="120" w:before="280"/>
      </w:pPr>
      <w:r>
        <w:rPr>
          <w:b/>
          <w:bCs/>
          <w:color w:val="FF7900"/>
          <w:sz w:val="26"/>
          <w:szCs w:val="26"/>
        </w:rPr>
        <w:t xml:space="preserve">1.1 Purpose</w:t>
      </w:r>
    </w:p>
    <w:p>
      <w:pPr>
        <w:spacing w:after="120" w:line="276"/>
      </w:pPr>
      <w:r>
        <w:rPr>
          <w:i w:val="false"/>
          <w:iCs w:val="false"/>
          <w:sz w:val="20"/>
          <w:szCs w:val="20"/>
        </w:rPr>
        <w:t xml:space="preserve">The Innovation Radar briefing deck sets out a clear product vision, a definition of what an opportunity space is, three target user groups and a first sketch of a scoring model. What it deliberately leaves open is the surrounding business detail: which Orange strategy the radar must serve, which assets constitute Orange's right to win, where the evidence is going to come from, and how the system will be built and validated.</w:t>
      </w:r>
    </w:p>
    <w:p>
      <w:pPr>
        <w:spacing w:after="120" w:line="276"/>
      </w:pPr>
      <w:r>
        <w:rPr>
          <w:i w:val="false"/>
          <w:iCs w:val="false"/>
          <w:sz w:val="20"/>
          <w:szCs w:val="20"/>
        </w:rPr>
        <w:t xml:space="preserve">This document closes those gaps. It restates the requirements from the briefing in a testable form, complements them with material drawn from the Orange Business corporate presentation and from public Orange sources, and then proposes a concrete approach — data sources, pipeline architecture, LLM design, scoring implementation, user interface and collaboration model — that the team can start executing against.</w:t>
      </w:r>
    </w:p>
    <w:p>
      <w:pPr>
        <w:pStyle w:val="Heading2"/>
        <w:spacing w:after="120" w:before="280"/>
      </w:pPr>
      <w:r>
        <w:rPr>
          <w:b/>
          <w:bCs/>
          <w:color w:val="FF7900"/>
          <w:sz w:val="26"/>
          <w:szCs w:val="26"/>
        </w:rPr>
        <w:t xml:space="preserve">1.2 Source material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900"/>
        <w:gridCol w:w="4526"/>
      </w:tblGrid>
      <w:tr>
        <w:trPr>
          <w:cantSplit w:val="false"/>
          <w:tblHeader/>
        </w:trPr>
        <w:tc>
          <w:tcPr>
            <w:tcW w:type="dxa" w:w="2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1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Type</w:t>
            </w:r>
          </w:p>
        </w:tc>
        <w:tc>
          <w:tcPr>
            <w:tcW w:type="dxa" w:w="45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contributes</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innovation_radar_summary_roadmap_additions_zsm_KF.odp</w:t>
            </w:r>
          </w:p>
        </w:tc>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Client briefing, 20 slides</w:t>
            </w:r>
          </w:p>
        </w:tc>
        <w:tc>
          <w:tcPr>
            <w:tcW w:type="dxa" w:w="4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Product vision, personas, user story, business context taxonomy, definition of an opportunity space, discovery process, acceptance criteria, scoring model sketch, MVP scope</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OB_Corporate_Presentation_ENG_2026_Finalversion.pptx</w:t>
            </w:r>
          </w:p>
        </w:tc>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Corporate deck, May 2026</w:t>
            </w:r>
          </w:p>
        </w:tc>
        <w:tc>
          <w:tcPr>
            <w:tcW w:type="dxa" w:w="4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Group and division figures, value propositions, differentiators, vertical focus (Defense, Health), delivery footprint, expert capability counts, partner and analyst recognition</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orange.com — strategy, governance, innovation</w:t>
            </w:r>
          </w:p>
        </w:tc>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Public web</w:t>
            </w:r>
          </w:p>
        </w:tc>
        <w:tc>
          <w:tcPr>
            <w:tcW w:type="dxa" w:w="4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Trust the future 2026–2030 plan and its three ambitions, financial guidance, governance bodies, research and open-innovation model</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orange-business.com — customer stories, presence, partners, certifications</w:t>
            </w:r>
          </w:p>
        </w:tc>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Public web</w:t>
            </w:r>
          </w:p>
        </w:tc>
        <w:tc>
          <w:tcPr>
            <w:tcW w:type="dxa" w:w="4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Reference-case corpus and its industry distribution, country footprint, partner list, certification set, current offer catalogue</w:t>
            </w:r>
          </w:p>
        </w:tc>
      </w:tr>
    </w:tbl>
    <w:p>
      <w:pPr>
        <w:spacing w:after="200" w:before="60"/>
      </w:pPr>
      <w:r>
        <w:rPr>
          <w:i/>
          <w:iCs/>
          <w:color w:val="595959"/>
          <w:sz w:val="16"/>
          <w:szCs w:val="16"/>
        </w:rPr>
        <w:t xml:space="preserve">Table 1 — Source material consolidated into this requirements baseline.</w:t>
      </w:r>
    </w:p>
    <w:p>
      <w:pPr>
        <w:pStyle w:val="Heading2"/>
        <w:spacing w:after="120" w:before="280"/>
      </w:pPr>
      <w:r>
        <w:rPr>
          <w:b/>
          <w:bCs/>
          <w:color w:val="FF7900"/>
          <w:sz w:val="26"/>
          <w:szCs w:val="26"/>
        </w:rPr>
        <w:t xml:space="preserve">1.3 How to read this document</w:t>
      </w:r>
    </w:p>
    <w:p>
      <w:pPr>
        <w:spacing w:after="120" w:line="276"/>
      </w:pPr>
      <w:r>
        <w:rPr>
          <w:i w:val="false"/>
          <w:iCs w:val="false"/>
          <w:sz w:val="20"/>
          <w:szCs w:val="20"/>
        </w:rPr>
        <w:t xml:space="preserve">Section 2 is client context: what the radar has to be true to. Section 3 is the requirements baseline, written so that each item can be accepted or rejected on evidence. Section 4 is the proposed approach and is explicitly a proposal — it contains choices the team should challenge before Sprint 1. Requirements are identified with stable prefixes (FR, DR, SC, AC, NFR) so that they can be referenced in backlog items and test cases.</w:t>
      </w:r>
    </w:p>
    <w:p>
      <w:r>
        <w:br w:type="page"/>
      </w:r>
    </w:p>
    <w:p>
      <w:pPr>
        <w:pStyle w:val="Heading1"/>
        <w:spacing w:after="160" w:before="360"/>
      </w:pPr>
      <w:r>
        <w:rPr>
          <w:b/>
          <w:bCs/>
          <w:color w:val="1A1A1A"/>
          <w:sz w:val="32"/>
          <w:szCs w:val="32"/>
        </w:rPr>
        <w:t xml:space="preserve">2. Client context</w:t>
      </w:r>
    </w:p>
    <w:p>
      <w:pPr>
        <w:spacing w:after="120" w:line="276"/>
      </w:pPr>
      <w:r>
        <w:rPr>
          <w:i w:val="false"/>
          <w:iCs w:val="false"/>
          <w:sz w:val="20"/>
          <w:szCs w:val="20"/>
        </w:rPr>
        <w:t xml:space="preserve">The briefing states that every topic must map to the world of global B2B digital solutions and that the fifth scoring criterion is "strategic relevance for Orange Business". Neither can be implemented without an explicit model of what Orange is, what it has decided to become, and what it can credibly claim. This section builds that model from the corporate deck and public sources.</w:t>
      </w:r>
    </w:p>
    <w:p>
      <w:pPr>
        <w:pStyle w:val="Heading2"/>
        <w:spacing w:after="120" w:before="280"/>
      </w:pPr>
      <w:r>
        <w:rPr>
          <w:b/>
          <w:bCs/>
          <w:color w:val="FF7900"/>
          <w:sz w:val="26"/>
          <w:szCs w:val="26"/>
        </w:rPr>
        <w:t xml:space="preserve">2.1 The Orange Group</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3300"/>
        <w:gridCol w:w="3726"/>
      </w:tblGrid>
      <w:tr>
        <w:trPr>
          <w:cantSplit w:val="false"/>
          <w:tblHeader/>
        </w:trPr>
        <w:tc>
          <w:tcPr>
            <w:tcW w:type="dxa" w:w="2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Indicator</w:t>
            </w:r>
          </w:p>
        </w:tc>
        <w:tc>
          <w:tcPr>
            <w:tcW w:type="dxa" w:w="33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Value</w:t>
            </w:r>
          </w:p>
        </w:tc>
        <w:tc>
          <w:tcPr>
            <w:tcW w:type="dxa" w:w="37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Relevance to the radar</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Revenue 2025</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€40.4 billion</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Scale reference for judging whether an opportunity is material</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Customers</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340+ million across 26 countries (incl. MasOrange)</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Reach that can be leveraged as a distribution asset</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Employees</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123,500 worldwide</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Capability pool behind any right-to-win claim</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Position in France</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1 mobile network, ranked by Arcep for the 15th consecutive year</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Credibility anchor in the domestic market</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Fibre</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European leader, 100 million connectable households</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Infrastructure asset underpinning connectivity-adjacent topics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Research</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~700 researchers, 120 PhD students, 11,000+ patents, 192 new inventions patented in 2024</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Technology-maturity evidence and a differentiator few integrators hold</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Open innovation</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150+ academic and industrial partnerships; 22 Orange Fab accelerators; ~1,000 startups supported across three continents</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Partner/ecosystem angle required by the presales persona</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Environment</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−45% GHG across all scopes by 2030 vs 2020; Net Zero Carbon by 2040</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Sustainability filter applicable to every opportunity space</w:t>
            </w:r>
          </w:p>
        </w:tc>
      </w:tr>
    </w:tbl>
    <w:p>
      <w:pPr>
        <w:spacing w:after="200" w:before="60"/>
      </w:pPr>
      <w:r>
        <w:rPr>
          <w:i/>
          <w:iCs/>
          <w:color w:val="595959"/>
          <w:sz w:val="16"/>
          <w:szCs w:val="16"/>
        </w:rPr>
        <w:t xml:space="preserve">Table 2 — Orange Group at a glance (2025 results; public sources, 2026).</w:t>
      </w:r>
    </w:p>
    <w:p>
      <w:pPr>
        <w:pStyle w:val="Heading2"/>
        <w:spacing w:after="120" w:before="280"/>
      </w:pPr>
      <w:r>
        <w:rPr>
          <w:b/>
          <w:bCs/>
          <w:color w:val="FF7900"/>
          <w:sz w:val="26"/>
          <w:szCs w:val="26"/>
        </w:rPr>
        <w:t xml:space="preserve">2.2 Orange Business</w:t>
      </w:r>
    </w:p>
    <w:p>
      <w:pPr>
        <w:spacing w:after="120" w:line="276"/>
      </w:pPr>
      <w:r>
        <w:rPr>
          <w:i w:val="false"/>
          <w:iCs w:val="false"/>
          <w:sz w:val="20"/>
          <w:szCs w:val="20"/>
        </w:rPr>
        <w:t xml:space="preserve">Orange Business is the enterprise division of the Group and positions itself simultaneously as operator, integrator and platform player — the combination is the stated differentiator, on the argument that few competitors can see the whole digital value chain.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6"/>
      </w:tblGrid>
      <w:tr>
        <w:trPr>
          <w:cantSplit w:val="false"/>
          <w:tblHeader/>
        </w:trPr>
        <w:tc>
          <w:tcPr>
            <w:tcW w:type="dxa" w:w="24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Indicator</w:t>
            </w:r>
          </w:p>
        </w:tc>
        <w:tc>
          <w:tcPr>
            <w:tcW w:type="dxa" w:w="66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Value</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Revenue 2025</w:t>
            </w:r>
          </w:p>
        </w:tc>
        <w:tc>
          <w:tcPr>
            <w:tcW w:type="dxa" w:w="6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€7.3 billion</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Employees</w:t>
            </w:r>
          </w:p>
        </w:tc>
        <w:tc>
          <w:tcPr>
            <w:tcW w:type="dxa" w:w="6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30,000, of which 7,000+ AI/Data/Cloud experts, 3,100+ cyber experts, 400+ IoT experts, 10,000+ digital experts</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B2B customers</w:t>
            </w:r>
          </w:p>
        </w:tc>
        <w:tc>
          <w:tcPr>
            <w:tcW w:type="dxa" w:w="6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40,000+ worldwide</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Growth signal</w:t>
            </w:r>
          </w:p>
        </w:tc>
        <w:tc>
          <w:tcPr>
            <w:tcW w:type="dxa" w:w="6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Cyberdefense revenue +6.8% in 2025</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Coverage</w:t>
            </w:r>
          </w:p>
        </w:tc>
        <w:tc>
          <w:tcPr>
            <w:tcW w:type="dxa" w:w="6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200+ countries and territories covered, supervised 24/7; teams in 65 countries</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Delivery footprint</w:t>
            </w:r>
          </w:p>
        </w:tc>
        <w:tc>
          <w:tcPr>
            <w:tcW w:type="dxa" w:w="6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70+ data centres across 5 continents; 18 Security Operations Centres; 15 CyberSOCs; 6 Major Service Centres</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Sovereign capability</w:t>
            </w:r>
          </w:p>
        </w:tc>
        <w:tc>
          <w:tcPr>
            <w:tcW w:type="dxa" w:w="6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Cloud Avenue, Ready SecNumCloud; certifications include ISO 27001, SOC 2 Type II, SecNumCloud, HDS, TISAX, CISPE</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Languages</w:t>
            </w:r>
          </w:p>
        </w:tc>
        <w:tc>
          <w:tcPr>
            <w:tcW w:type="dxa" w:w="6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32 spoken across service teams</w:t>
            </w:r>
          </w:p>
        </w:tc>
      </w:tr>
    </w:tbl>
    <w:p>
      <w:pPr>
        <w:spacing w:after="200" w:before="60"/>
      </w:pPr>
      <w:r>
        <w:rPr>
          <w:i/>
          <w:iCs/>
          <w:color w:val="595959"/>
          <w:sz w:val="16"/>
          <w:szCs w:val="16"/>
        </w:rPr>
        <w:t xml:space="preserve">Table 3 — Orange Business at a glance (corporate presentation, May 2026).</w:t>
      </w:r>
    </w:p>
    <w:p>
      <w:pPr>
        <w:pStyle w:val="Heading3"/>
        <w:spacing w:after="100" w:before="220"/>
      </w:pPr>
      <w:r>
        <w:rPr>
          <w:b/>
          <w:bCs/>
          <w:color w:val="1A1A1A"/>
          <w:sz w:val="22"/>
          <w:szCs w:val="22"/>
        </w:rPr>
        <w:t xml:space="preserve">Business domains and value propositions</w:t>
      </w:r>
    </w:p>
    <w:p>
      <w:pPr>
        <w:spacing w:after="120" w:line="276"/>
      </w:pPr>
      <w:r>
        <w:rPr>
          <w:i w:val="false"/>
          <w:iCs w:val="false"/>
          <w:sz w:val="20"/>
          <w:szCs w:val="20"/>
        </w:rPr>
        <w:t xml:space="preserve">The corporate deck organises the offer around four strategic value propositions — Customer Experience, Employee Experience, Operational Experience and Digital Infrastructure — built on connectivity, cloud, data &amp; AI and cybersecurity, and framed by Trust and Sustainability. The briefing deck's list of business domains (OX: Smart Industries, Connectivity Solutions, Cybersecurity, Cloud, CX, EX) is a compatible restatement of the same structure and should be adopted as the controlled vocabulary, with an explicit mapping maintained to the four value propositions so that a topic can be routed to an offer owner.</w:t>
      </w:r>
    </w:p>
    <w:p>
      <w:pPr>
        <w:spacing w:after="120" w:line="276"/>
      </w:pPr>
      <w:r>
        <w:rPr>
          <w:i w:val="false"/>
          <w:iCs w:val="false"/>
          <w:sz w:val="20"/>
          <w:szCs w:val="20"/>
        </w:rPr>
        <w:t xml:space="preserve">Two vertical divisions were added in 2025 and are strategically privileged: a Defense &amp; Security Division (250+ defense and security experts, 100+ cyber experts dedicated to those clients, 60+ researchers on defense-related programmes, organised around secure and resilient connectivity, data sovereignty, tactical networks and sector-adapted cybersecurity), and a Health Division built on the Enovacom and Enovalife subsidiaries (3,000+ healthcare customers, 1,000+ healthcare experts, a sovereign full stack from network to clinical data under SecNumCloud and HDS, and direct access to Future4Care startups). Both should carry a positive weight in the strategic-relevance component of the score.</w:t>
      </w:r>
    </w:p>
    <w:p>
      <w:pPr>
        <w:pStyle w:val="Heading2"/>
        <w:spacing w:after="120" w:before="280"/>
      </w:pPr>
      <w:r>
        <w:rPr>
          <w:b/>
          <w:bCs/>
          <w:color w:val="FF7900"/>
          <w:sz w:val="26"/>
          <w:szCs w:val="26"/>
        </w:rPr>
        <w:t xml:space="preserve">2.3 Strategic frame: Trust the future (2026–2030)</w:t>
      </w:r>
    </w:p>
    <w:p>
      <w:pPr>
        <w:spacing w:after="120" w:line="276"/>
      </w:pPr>
      <w:r>
        <w:rPr>
          <w:i w:val="false"/>
          <w:iCs w:val="false"/>
          <w:sz w:val="20"/>
          <w:szCs w:val="20"/>
        </w:rPr>
        <w:t xml:space="preserve">Orange presented Trust the future on 19 February 2026, succeeding Lead the future (2023–2025). Trust is positioned as the competitive edge rather than as a compliance obligation, and the plan is organised around three ambitions. This is the single most important input to the radar's strategic relevance criterion: an opportunity space that does not connect to one of these three ambitions is, by the Group's own definition, not strategically relevant.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00"/>
        <w:gridCol w:w="4100"/>
        <w:gridCol w:w="3226"/>
      </w:tblGrid>
      <w:tr>
        <w:trPr>
          <w:cantSplit w:val="false"/>
          <w:tblHeader/>
        </w:trPr>
        <w:tc>
          <w:tcPr>
            <w:tcW w:type="dxa" w:w="17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Ambition</w:t>
            </w:r>
          </w:p>
        </w:tc>
        <w:tc>
          <w:tcPr>
            <w:tcW w:type="dxa" w:w="41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Content</w:t>
            </w:r>
          </w:p>
        </w:tc>
        <w:tc>
          <w:tcPr>
            <w:tcW w:type="dxa" w:w="32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Implication for the radar</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 intimacy</w:t>
            </w:r>
          </w:p>
        </w:tc>
        <w:tc>
          <w:tcPr>
            <w:tcW w:type="dxa" w:w="4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Deeper, more predictive relationships on a 340m customer base; ~40m additional fixed and mobile customers by 2028; churn improvement of up to 3 points in Europe; next-gen apps, AI assistants and marketplaces</w:t>
            </w:r>
          </w:p>
        </w:tc>
        <w:tc>
          <w:tcPr>
            <w:tcW w:type="dxa" w:w="3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Mostly B2C-facing, but establishes CVM, AI assistants and marketplace mechanics as Group-level capabilities that B2B topics can borrow</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Innovative growth</w:t>
            </w:r>
          </w:p>
        </w:tc>
        <w:tc>
          <w:tcPr>
            <w:tcW w:type="dxa" w:w="4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€1bn additional revenue by 2028 vs 2025 on services beyond connectivity, split €500m B2C / €500m trusted B2B services; Orange Cyberdefense targeting €2bn revenue by 2030; named investment in defense and health verticals</w:t>
            </w:r>
          </w:p>
        </w:tc>
        <w:tc>
          <w:tcPr>
            <w:tcW w:type="dxa" w:w="3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primary target zone for the radar. Topics that plausibly contribute to trusted B2B services, cyberdefence, trusted cloud or trusted AI score highest</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Excellence at scale</w:t>
            </w:r>
          </w:p>
        </w:tc>
        <w:tc>
          <w:tcPr>
            <w:tcW w:type="dxa" w:w="4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Next-generation networks, decommissioning of 2G/3G/copper, AI across operations with €600m of value targeted by 2028, ~€1bn procurement savings, shared platforms shortening time-to-market</w:t>
            </w:r>
          </w:p>
        </w:tc>
        <w:tc>
          <w:tcPr>
            <w:tcW w:type="dxa" w:w="3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Legitimises internal/operational opportunity spaces, and makes 'we run this ourselves at scale' a usable proof point</w:t>
            </w:r>
          </w:p>
        </w:tc>
      </w:tr>
    </w:tbl>
    <w:p>
      <w:pPr>
        <w:spacing w:after="200" w:before="60"/>
      </w:pPr>
      <w:r>
        <w:rPr>
          <w:i/>
          <w:iCs/>
          <w:color w:val="595959"/>
          <w:sz w:val="16"/>
          <w:szCs w:val="16"/>
        </w:rPr>
        <w:t xml:space="preserve">Table 4 — The three Trust the future ambitions and what they imply for scoring.</w:t>
      </w:r>
    </w:p>
    <w:p>
      <w:pPr>
        <w:spacing w:after="120" w:line="276"/>
      </w:pPr>
      <w:r>
        <w:rPr>
          <w:b/>
          <w:bCs/>
          <w:i w:val="false"/>
          <w:iCs w:val="false"/>
          <w:sz w:val="20"/>
          <w:szCs w:val="20"/>
        </w:rPr>
        <w:t xml:space="preserve">Divisional guidance relevant to Orange Business: </w:t>
      </w:r>
      <w:r>
        <w:rPr>
          <w:sz w:val="20"/>
          <w:szCs w:val="20"/>
        </w:rPr>
        <w:t xml:space="preserve">continued portfolio alignment to trusted solutions and efficiency gains, with the EBITDAaL year-on-year trend improving toward stabilisation. In plain terms, the division is expected to shift mix toward trusted, higher-value services rather than to grow volume. The radar should therefore favour topics with a credible margin story over topics that merely add revenue.</w:t>
      </w:r>
    </w:p>
    <w:p>
      <w:pPr>
        <w:pStyle w:val="Heading2"/>
        <w:spacing w:after="120" w:before="280"/>
      </w:pPr>
      <w:r>
        <w:rPr>
          <w:b/>
          <w:bCs/>
          <w:color w:val="FF7900"/>
          <w:sz w:val="26"/>
          <w:szCs w:val="26"/>
        </w:rPr>
        <w:t xml:space="preserve">2.4 Governance</w:t>
      </w:r>
    </w:p>
    <w:p>
      <w:pPr>
        <w:spacing w:after="120" w:line="276"/>
      </w:pPr>
      <w:r>
        <w:rPr>
          <w:i w:val="false"/>
          <w:iCs w:val="false"/>
          <w:sz w:val="20"/>
          <w:szCs w:val="20"/>
        </w:rPr>
        <w:t xml:space="preserve">Orange's governance model combines the Board of Directors and its specialised committees with two advisory bodies that matter for a system of this kind: a Scientific Council and a Data and AI Ethics Council. The Executive Committee, 14 members, led by CEO Christel Heydemann, steers operational execution. Frédéric Sanchez — previously chair of the Board's Strategy and Technology Committee — became non-executive Chairman of the Board following the Shareholders' Meeting of 19 May 2026. Orange Business has its own Executive Committee led by CEO Aliette Mousnier-Lompré.</w:t>
      </w:r>
    </w:p>
    <w:p>
      <w:pPr>
        <w:spacing w:after="120" w:line="276"/>
      </w:pPr>
      <w:r>
        <w:rPr>
          <w:i w:val="false"/>
          <w:iCs w:val="false"/>
          <w:sz w:val="20"/>
          <w:szCs w:val="20"/>
        </w:rPr>
        <w:t xml:space="preserve">Three consequences for the project:</w:t>
      </w:r>
    </w:p>
    <w:p>
      <w:pPr>
        <w:pStyle w:val="ListParagraph"/>
        <w:numPr>
          <w:ilvl w:val="0"/>
          <w:numId w:val="2"/>
        </w:numPr>
        <w:spacing w:after="60" w:line="276"/>
      </w:pPr>
      <w:r>
        <w:rPr>
          <w:b w:val="false"/>
          <w:bCs w:val="false"/>
          <w:i w:val="false"/>
          <w:iCs w:val="false"/>
          <w:sz w:val="20"/>
          <w:szCs w:val="20"/>
        </w:rPr>
        <w:t xml:space="preserve">An AI system that ranks strategic opportunities is squarely within the remit of the Data and AI Ethics Council. </w:t>
      </w:r>
      <w:r>
        <w:rPr>
          <w:sz w:val="20"/>
          <w:szCs w:val="20"/>
        </w:rPr>
        <w:t xml:space="preserve">Explainability, traceability of sources and absence of hidden bias are not nice-to-haves; they are the conditions under which an internal Group body will approve the tool.</w:t>
      </w:r>
    </w:p>
    <w:p>
      <w:pPr>
        <w:pStyle w:val="ListParagraph"/>
        <w:numPr>
          <w:ilvl w:val="0"/>
          <w:numId w:val="2"/>
        </w:numPr>
        <w:spacing w:after="60" w:line="276"/>
      </w:pPr>
      <w:r>
        <w:rPr>
          <w:sz w:val="20"/>
          <w:szCs w:val="20"/>
        </w:rPr>
        <w:t xml:space="preserve">The Strategy and Technology Committee is the natural upstream consumer of a curated radar view. A quarterly export tailored to that audience is a cheap, high-visibility deliverable.</w:t>
      </w:r>
    </w:p>
    <w:p>
      <w:pPr>
        <w:pStyle w:val="ListParagraph"/>
        <w:numPr>
          <w:ilvl w:val="0"/>
          <w:numId w:val="2"/>
        </w:numPr>
        <w:spacing w:after="60" w:line="276"/>
      </w:pPr>
      <w:r>
        <w:rPr>
          <w:sz w:val="20"/>
          <w:szCs w:val="20"/>
        </w:rPr>
        <w:t xml:space="preserve">Because the Group publishes precise, dated commitments (2028 revenue targets, 2030 cyberdefence revenue, 2030 and 2040 environmental targets), the radar can and should use those dates as anchors when it classifies a topic as Now, Next or Later.</w:t>
      </w:r>
    </w:p>
    <w:p>
      <w:pPr>
        <w:pStyle w:val="Heading2"/>
        <w:spacing w:after="120" w:before="280"/>
      </w:pPr>
      <w:r>
        <w:rPr>
          <w:b/>
          <w:bCs/>
          <w:color w:val="FF7900"/>
          <w:sz w:val="26"/>
          <w:szCs w:val="26"/>
        </w:rPr>
        <w:t xml:space="preserve">2.5 Innovation model</w:t>
      </w:r>
    </w:p>
    <w:p>
      <w:pPr>
        <w:spacing w:after="120" w:line="276"/>
      </w:pPr>
      <w:r>
        <w:rPr>
          <w:i w:val="false"/>
          <w:iCs w:val="false"/>
          <w:sz w:val="20"/>
          <w:szCs w:val="20"/>
        </w:rPr>
        <w:t xml:space="preserve">Orange runs a three-part innovation model — Research, Exploration, Development — supported by roughly 700 researchers and a patent portfolio of more than 11,000, the largest among European telecom operators, licensed to over 2,000 companies. Open innovation is a stated strategic priority, delivered through 150+ academic and industrial partnerships, 22 Orange Fab accelerators, Orange Ventures (which has explicitly re-aligned its investment thesis to Trust the future), and partnerships such as the ZEBOX accelerator agreement signed in April 2026. Orange participates in more than 65 cooperative research projects in France and Europe and contributes to international standards.</w:t>
      </w:r>
    </w:p>
    <w:p>
      <w:pPr>
        <w:spacing w:after="120" w:line="276"/>
      </w:pPr>
      <w:r>
        <w:rPr>
          <w:i w:val="false"/>
          <w:iCs w:val="false"/>
          <w:sz w:val="20"/>
          <w:szCs w:val="20"/>
        </w:rPr>
        <w:t xml:space="preserve">This has a direct architectural consequence. Orange's own research and patent activity is a leading indicator that precedes market signals by years, and it is machine-readable through public patent and research-project databases. The radar can therefore measure not only "is the market talking about this" but "has Orange already been building this" — which is a far stronger right-to-win statement than a CRM overlap count.</w:t>
      </w:r>
    </w:p>
    <w:p>
      <w:pPr>
        <w:pStyle w:val="Heading2"/>
        <w:spacing w:after="120" w:before="280"/>
      </w:pPr>
      <w:r>
        <w:rPr>
          <w:b/>
          <w:bCs/>
          <w:color w:val="FF7900"/>
          <w:sz w:val="26"/>
          <w:szCs w:val="26"/>
        </w:rPr>
        <w:t xml:space="preserve">2.6 International presence</w:t>
      </w:r>
    </w:p>
    <w:p>
      <w:pPr>
        <w:spacing w:after="120" w:line="276"/>
      </w:pPr>
      <w:r>
        <w:rPr>
          <w:i w:val="false"/>
          <w:iCs w:val="false"/>
          <w:sz w:val="20"/>
          <w:szCs w:val="20"/>
        </w:rPr>
        <w:t xml:space="preserve">The network covers more than 200 countries and territories; teams are present in 65 countries, with the strongest footprint in Europe and offices spanning North and South America, the Middle East and Africa, and Asia-Oceania. Local Orange Business entities publish country sites for Belgium, France, Spain, the Netherlands, Luxembourg, Switzerland, Norway, Sweden, Brazil, Argentina, Chile, Colombia, Mexico, Peru and Japan among others.</w:t>
      </w:r>
    </w:p>
    <w:p>
      <w:pPr>
        <w:spacing w:after="120" w:line="276"/>
      </w:pPr>
      <w:r>
        <w:rPr>
          <w:i w:val="false"/>
          <w:iCs w:val="false"/>
          <w:sz w:val="20"/>
          <w:szCs w:val="20"/>
        </w:rPr>
        <w:t xml:space="preserve">Geography is one of the four filter dimensions demanded by the briefing's acceptance criteria. It is also a scoring dimension in its own right: a regulation-driven opportunity is only urgent where the regulation applies, and a topic can be Now in one jurisdiction and Later in another. The data model must therefore attach geography to signals, not only to topics.</w:t>
      </w:r>
    </w:p>
    <w:p>
      <w:pPr>
        <w:pStyle w:val="Heading2"/>
        <w:spacing w:after="120" w:before="280"/>
      </w:pPr>
      <w:r>
        <w:rPr>
          <w:b/>
          <w:bCs/>
          <w:color w:val="FF7900"/>
          <w:sz w:val="26"/>
          <w:szCs w:val="26"/>
        </w:rPr>
        <w:t xml:space="preserve">2.7 Customers and reference cases</w:t>
      </w:r>
    </w:p>
    <w:p>
      <w:pPr>
        <w:spacing w:after="120" w:line="276"/>
      </w:pPr>
      <w:r>
        <w:rPr>
          <w:i w:val="false"/>
          <w:iCs w:val="false"/>
          <w:sz w:val="20"/>
          <w:szCs w:val="20"/>
        </w:rPr>
        <w:t xml:space="preserve">Orange Business publishes a customer-story corpus that is, in effect, a pre-built right-to-win index. Its industry distribution is informative in itself, because it shows where proof points already exist and where a topic would have to be sold without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500"/>
        <w:gridCol w:w="2900"/>
        <w:gridCol w:w="1726"/>
      </w:tblGrid>
      <w:tr>
        <w:trPr>
          <w:cantSplit w:val="false"/>
          <w:tblHeader/>
        </w:trPr>
        <w:tc>
          <w:tcPr>
            <w:tcW w:type="dxa" w:w="2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Industry</w:t>
            </w:r>
          </w:p>
        </w:tc>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Published stories</w:t>
            </w:r>
          </w:p>
        </w:tc>
        <w:tc>
          <w:tcPr>
            <w:tcW w:type="dxa" w:w="2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Expertise area</w:t>
            </w:r>
          </w:p>
        </w:tc>
        <w:tc>
          <w:tcPr>
            <w:tcW w:type="dxa" w:w="17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Published stories</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Manufacturing</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27</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Digital infrastructure</w:t>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26</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Technology &amp; business services</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18</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Operational experience</w:t>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19</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Public sector</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Employee experience</w:t>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11</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Retail</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Cybersecurity</w:t>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10</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Transport</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 experience</w:t>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Automotive</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6</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Digital Trust</w:t>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Health</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6</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Resources and energy</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5</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Bank &amp; insurance</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Tourism and personal services</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Media &amp; gaming</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Real estate</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c>
          <w:tcPr>
            <w:tcW w:type="dxa" w:w="1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
            </w:r>
          </w:p>
        </w:tc>
      </w:tr>
    </w:tbl>
    <w:p>
      <w:pPr>
        <w:spacing w:after="200" w:before="60"/>
      </w:pPr>
      <w:r>
        <w:rPr>
          <w:i/>
          <w:iCs/>
          <w:color w:val="595959"/>
          <w:sz w:val="16"/>
          <w:szCs w:val="16"/>
        </w:rPr>
        <w:t xml:space="preserve">Table 5 — Distribution of published Orange Business customer stories by industry and by expertise area (orange-business.com, August 2026).</w:t>
      </w:r>
    </w:p>
    <w:p>
      <w:pPr>
        <w:spacing w:after="120" w:line="276"/>
      </w:pPr>
      <w:r>
        <w:rPr>
          <w:i w:val="false"/>
          <w:iCs w:val="false"/>
          <w:sz w:val="20"/>
          <w:szCs w:val="20"/>
        </w:rPr>
        <w:t xml:space="preserve">Named references include Colgate-Palmolive and Mondelēz International (global network and communications transformation), Toyota (connected cars and road-safety data), Saint-Gobain Glass (supply-chain IoT), Boulanger (AI conversational agent, ROI in six weeks), MicroPort CardioFlow (remote cardiac monitoring over trusted connectivity), Point One Navigation (precision location on IoT SIMs), Banqsoft and Stø (sovereign cloud for banking and finance), Bliksund and Skytale (managed Kubernetes with security), Everise (contact centre modernisation), Grand Paris Sud (secure indoor connectivity for esports arenas), Carso, Tricots Saint James, Aberg Connect, Amerigo and MPSA.</w:t>
      </w:r>
    </w:p>
    <w:p>
      <w:pPr>
        <w:spacing w:after="120" w:line="276"/>
      </w:pPr>
      <w:r>
        <w:rPr>
          <w:b/>
          <w:bCs/>
          <w:i w:val="false"/>
          <w:iCs w:val="false"/>
          <w:sz w:val="20"/>
          <w:szCs w:val="20"/>
        </w:rPr>
        <w:t xml:space="preserve">Note the asymmetry. </w:t>
      </w:r>
      <w:r>
        <w:rPr>
          <w:sz w:val="20"/>
          <w:szCs w:val="20"/>
        </w:rPr>
        <w:t xml:space="preserve">Manufacturing has 27 published references; bank &amp; insurance has 4 and media &amp; gaming 2. The briefing's sales persona needs "only topics with enough internal content to credibly back up". A radar that ignores this asymmetry will hand a salesperson a banking topic with no proof point behind it. Reference density per (vertical × domain) cell must therefore be a first-class input to the right-to-win score, and a gap in that density must be surfaced as an explicit warning rather than silently averaged away.</w:t>
      </w:r>
    </w:p>
    <w:p>
      <w:pPr>
        <w:pStyle w:val="Heading2"/>
        <w:spacing w:after="120" w:before="280"/>
      </w:pPr>
      <w:r>
        <w:rPr>
          <w:b/>
          <w:bCs/>
          <w:color w:val="FF7900"/>
          <w:sz w:val="26"/>
          <w:szCs w:val="26"/>
        </w:rPr>
        <w:t xml:space="preserve">2.8 Recognition, partners and current offers</w:t>
      </w:r>
    </w:p>
    <w:p>
      <w:pPr>
        <w:spacing w:after="120" w:line="276"/>
      </w:pPr>
      <w:r>
        <w:rPr>
          <w:i w:val="false"/>
          <w:iCs w:val="false"/>
          <w:sz w:val="20"/>
          <w:szCs w:val="20"/>
        </w:rPr>
        <w:t xml:space="preserve">Orange Business was mentioned in 158 analyst publications in 2025 and is named a leader in 56 reports, including the 2026 Gartner Magic Quadrant for 4G and 5G Private Mobile Network Services and the leader position for Global WAN Services, and GlobalData's 2025 Company Assessment for Global Enterprise. Partner status is deep and named: AWS (Advanced Partner, MSP), Microsoft (Gold MAICPP, Partner of the Year), Cisco (Global Gold), Google Cloud (Premier), ServiceNow (Elite), Palo Alto Networks (Diamond, #1 EMEA partner), Fortinet, Zscaler, Genesys (Elite), NiCE (Platinum), Dell, HPE, NVIDIA, Samsung and Huawei.</w:t>
      </w:r>
    </w:p>
    <w:p>
      <w:pPr>
        <w:spacing w:after="120" w:line="276"/>
      </w:pPr>
      <w:r>
        <w:rPr>
          <w:i w:val="false"/>
          <w:iCs w:val="false"/>
          <w:sz w:val="20"/>
          <w:szCs w:val="20"/>
        </w:rPr>
        <w:t xml:space="preserve">The offer portfolio moved visibly in 2026. At the Orange Business Summit on 17–18 March 2026, fourteen offers were announced or enhanced, including Orange Drone Guardian (detection and classification of intrusive drones in low-altitude airspace, initially France, on sovereign infrastructure), Live Intelligence Studio (building, deploying and managing AI agents in a trusted environment), Live Collaboration (modular sovereign collaboration hosted on Cloud Avenue SecNum), and trust-and-AI features in enterprise voice. Quantum-safe offers (post-quantum cryptography and quantum key distribution) and the Evolution Platform network-as-a-service catalogue are also live.</w:t>
      </w:r>
    </w:p>
    <w:p>
      <w:pPr>
        <w:spacing w:after="120" w:line="276"/>
      </w:pPr>
      <w:r>
        <w:rPr>
          <w:b/>
          <w:bCs/>
          <w:i w:val="false"/>
          <w:iCs w:val="false"/>
          <w:sz w:val="20"/>
          <w:szCs w:val="20"/>
        </w:rPr>
        <w:t xml:space="preserve">This is the fine-tuning corpus the briefing defers to "the next phase". </w:t>
      </w:r>
      <w:r>
        <w:rPr>
          <w:sz w:val="20"/>
          <w:szCs w:val="20"/>
        </w:rPr>
        <w:t xml:space="preserve">It is available now, publicly, in structured-enough form to bootstrap the right-to-win side of the model before any CRM integration exists. Doing so removes the dependency that would otherwise block the MVP.</w:t>
      </w:r>
    </w:p>
    <w:p>
      <w:pPr>
        <w:pStyle w:val="Heading2"/>
        <w:spacing w:after="120" w:before="280"/>
      </w:pPr>
      <w:r>
        <w:rPr>
          <w:b/>
          <w:bCs/>
          <w:color w:val="FF7900"/>
          <w:sz w:val="26"/>
          <w:szCs w:val="26"/>
        </w:rPr>
        <w:t xml:space="preserve">2.9 What this context changes about the requirements</w:t>
      </w:r>
    </w:p>
    <w:p>
      <w:pPr>
        <w:spacing w:after="120" w:line="276"/>
      </w:pPr>
      <w:r>
        <w:rPr>
          <w:i w:val="false"/>
          <w:iCs w:val="false"/>
          <w:sz w:val="20"/>
          <w:szCs w:val="20"/>
        </w:rPr>
        <w:t xml:space="preserve">Eight consequences follow from the material above, and they are carried into Section 3 as requirements.</w:t>
      </w:r>
    </w:p>
    <w:p>
      <w:pPr>
        <w:pStyle w:val="ListParagraph"/>
        <w:numPr>
          <w:ilvl w:val="0"/>
          <w:numId w:val="3"/>
        </w:numPr>
        <w:spacing w:after="60" w:line="276"/>
      </w:pPr>
      <w:r>
        <w:rPr>
          <w:sz w:val="20"/>
          <w:szCs w:val="20"/>
        </w:rPr>
        <w:t xml:space="preserve">Strategic relevance must be computed against the three Trust the future ambitions and the two privileged verticals (Defense, Health), not against a generic notion of fit.</w:t>
      </w:r>
    </w:p>
    <w:p>
      <w:pPr>
        <w:pStyle w:val="ListParagraph"/>
        <w:numPr>
          <w:ilvl w:val="0"/>
          <w:numId w:val="3"/>
        </w:numPr>
        <w:spacing w:after="60" w:line="276"/>
      </w:pPr>
      <w:r>
        <w:rPr>
          <w:sz w:val="20"/>
          <w:szCs w:val="20"/>
        </w:rPr>
        <w:t xml:space="preserve">Trust, sovereignty and compliance are not one topic among others; they are a cross-cutting axis. A topic that can be delivered on sovereign infrastructure is worth more to Orange than the same topic delivered generically, and the model should say so explicitly.</w:t>
      </w:r>
    </w:p>
    <w:p>
      <w:pPr>
        <w:pStyle w:val="ListParagraph"/>
        <w:numPr>
          <w:ilvl w:val="0"/>
          <w:numId w:val="3"/>
        </w:numPr>
        <w:spacing w:after="60" w:line="276"/>
      </w:pPr>
      <w:r>
        <w:rPr>
          <w:sz w:val="20"/>
          <w:szCs w:val="20"/>
        </w:rPr>
        <w:t xml:space="preserve">Right-to-win can be bootstrapped from public assets — references, partner tiers, analyst positions, certifications, patents, expert counts — with no CRM dependency in the MVP.</w:t>
      </w:r>
    </w:p>
    <w:p>
      <w:pPr>
        <w:pStyle w:val="ListParagraph"/>
        <w:numPr>
          <w:ilvl w:val="0"/>
          <w:numId w:val="3"/>
        </w:numPr>
        <w:spacing w:after="60" w:line="276"/>
      </w:pPr>
      <w:r>
        <w:rPr>
          <w:sz w:val="20"/>
          <w:szCs w:val="20"/>
        </w:rPr>
        <w:t xml:space="preserve">Reference density per vertical is uneven and must be surfaced, because the sales persona's acceptance criterion depends on it.</w:t>
      </w:r>
    </w:p>
    <w:p>
      <w:pPr>
        <w:pStyle w:val="ListParagraph"/>
        <w:numPr>
          <w:ilvl w:val="0"/>
          <w:numId w:val="3"/>
        </w:numPr>
        <w:spacing w:after="60" w:line="276"/>
      </w:pPr>
      <w:r>
        <w:rPr>
          <w:sz w:val="20"/>
          <w:szCs w:val="20"/>
        </w:rPr>
        <w:t xml:space="preserve">Geography must be modelled at signal level, since regulatory urgency is jurisdiction-specific and Orange's footprint is uneven across 65 countries.</w:t>
      </w:r>
    </w:p>
    <w:p>
      <w:pPr>
        <w:pStyle w:val="ListParagraph"/>
        <w:numPr>
          <w:ilvl w:val="0"/>
          <w:numId w:val="3"/>
        </w:numPr>
        <w:spacing w:after="60" w:line="276"/>
      </w:pPr>
      <w:r>
        <w:rPr>
          <w:sz w:val="20"/>
          <w:szCs w:val="20"/>
        </w:rPr>
        <w:t xml:space="preserve">Published Orange commitments with dates (2028, 2030, 2040) are usable anchors for the Now / Next / Later horizon classification.</w:t>
      </w:r>
    </w:p>
    <w:p>
      <w:pPr>
        <w:pStyle w:val="ListParagraph"/>
        <w:numPr>
          <w:ilvl w:val="0"/>
          <w:numId w:val="3"/>
        </w:numPr>
        <w:spacing w:after="60" w:line="276"/>
      </w:pPr>
      <w:r>
        <w:rPr>
          <w:sz w:val="20"/>
          <w:szCs w:val="20"/>
        </w:rPr>
        <w:t xml:space="preserve">The Data and AI Ethics Council's expectations make explainability, source traceability and bias control acceptance criteria rather than engineering preferences.</w:t>
      </w:r>
    </w:p>
    <w:p>
      <w:pPr>
        <w:pStyle w:val="ListParagraph"/>
        <w:numPr>
          <w:ilvl w:val="0"/>
          <w:numId w:val="3"/>
        </w:numPr>
        <w:spacing w:after="60" w:line="276"/>
      </w:pPr>
      <w:r>
        <w:rPr>
          <w:sz w:val="20"/>
          <w:szCs w:val="20"/>
        </w:rPr>
        <w:t xml:space="preserve">Orange sells trusted AI on sovereign infrastructure. A radar built on an uncontrolled external model would contradict the client's own positioning; the architecture should keep sovereign deployment viable.</w:t>
      </w:r>
    </w:p>
    <w:p>
      <w:r>
        <w:br w:type="page"/>
      </w:r>
    </w:p>
    <w:p>
      <w:pPr>
        <w:pStyle w:val="Heading1"/>
        <w:spacing w:after="160" w:before="360"/>
      </w:pPr>
      <w:r>
        <w:rPr>
          <w:b/>
          <w:bCs/>
          <w:color w:val="1A1A1A"/>
          <w:sz w:val="32"/>
          <w:szCs w:val="32"/>
        </w:rPr>
        <w:t xml:space="preserve">3. Requirements baseline</w:t>
      </w:r>
    </w:p>
    <w:p>
      <w:pPr>
        <w:spacing w:after="120" w:line="276"/>
      </w:pPr>
      <w:r>
        <w:rPr>
          <w:i w:val="false"/>
          <w:iCs w:val="false"/>
          <w:sz w:val="20"/>
          <w:szCs w:val="20"/>
        </w:rPr>
        <w:t xml:space="preserve">This section restates the briefing's requirements in testable form and adds the requirements implied by Section 2. Identifiers are stable: FR (functional), DR (data), SC (scoring), AC (acceptance), NFR (non-functional). Priority uses MoSCoW: M = must have in the MVP, S = should have, C = could have, W = won't have this time.</w:t>
      </w:r>
    </w:p>
    <w:p>
      <w:pPr>
        <w:pStyle w:val="Heading2"/>
        <w:spacing w:after="120" w:before="280"/>
      </w:pPr>
      <w:r>
        <w:rPr>
          <w:b/>
          <w:bCs/>
          <w:color w:val="FF7900"/>
          <w:sz w:val="26"/>
          <w:szCs w:val="26"/>
        </w:rPr>
        <w:t xml:space="preserve">3.1 Vision and problem statement</w:t>
      </w:r>
    </w:p>
    <w:p>
      <w:pPr>
        <w:spacing w:after="120" w:line="276"/>
      </w:pPr>
      <w:r>
        <w:rPr>
          <w:i w:val="false"/>
          <w:iCs w:val="false"/>
          <w:sz w:val="20"/>
          <w:szCs w:val="20"/>
        </w:rPr>
        <w:t xml:space="preserve">The Innovation Radar is a regularly refreshed view of specific innovation opportunities — not broad technology themes — each scored on how attractive it is, how urgent the window is, and how strong Orange's right to win is, grounded in real assets, references and customer base. Topics enter, rise and fade as external signals and internal traction change. Every topic must be convertible into an action by a strategist, a salesperson or a presales professional.</w:t>
      </w:r>
    </w:p>
    <w:p>
      <w:pPr>
        <w:spacing w:after="120" w:line="276"/>
      </w:pPr>
      <w:r>
        <w:rPr>
          <w:i w:val="false"/>
          <w:iCs w:val="false"/>
          <w:sz w:val="20"/>
          <w:szCs w:val="20"/>
        </w:rPr>
        <w:t xml:space="preserve">The problem it solves is not a shortage of information about technology. It is that the available information is generic ("AI in industry"), undated, unsourced and disconnected from what Orange can actually sell. The radar's value is the join between an external signal and an internal asset, expressed at a level of specificity a salesperson can use in a meeting on Thursday.</w:t>
      </w:r>
    </w:p>
    <w:p>
      <w:pPr>
        <w:pStyle w:val="Heading2"/>
        <w:spacing w:after="120" w:before="280"/>
      </w:pPr>
      <w:r>
        <w:rPr>
          <w:b/>
          <w:bCs/>
          <w:color w:val="FF7900"/>
          <w:sz w:val="26"/>
          <w:szCs w:val="26"/>
        </w:rPr>
        <w:t xml:space="preserve">3.2 Target users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700"/>
        <w:gridCol w:w="2200"/>
        <w:gridCol w:w="2626"/>
      </w:tblGrid>
      <w:tr>
        <w:trPr>
          <w:cantSplit w:val="false"/>
          <w:tblHeader/>
        </w:trPr>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Persona</w:t>
            </w:r>
          </w:p>
        </w:tc>
        <w:tc>
          <w:tcPr>
            <w:tcW w:type="dxa" w:w="27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Need (from the briefing)</w:t>
            </w:r>
          </w:p>
        </w:tc>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Job to be done</w:t>
            </w:r>
          </w:p>
        </w:tc>
        <w:tc>
          <w:tcPr>
            <w:tcW w:type="dxa" w:w="26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Success looks like</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Strategists &amp; innovators</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defensible pipeline of new innovation projects — commercial offerings, new go-to-market, or operational solutions</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Decide where to invest study and prototyping effort next quarter</w:t>
            </w:r>
          </w:p>
        </w:tc>
        <w:tc>
          <w:tcPr>
            <w:tcW w:type="dxa" w:w="2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Finds at least 3 relevant topics for a chosen vertical or domain, sees why they are hot, and decides quickly whether a deeper study is needed</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Sales teams</w:t>
            </w:r>
          </w:p>
        </w:tc>
        <w:tc>
          <w:tcPr>
            <w:tcW w:type="dxa" w:w="2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relevant, timely topic to spark interest with a customer or prospect</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Open or re-open a conversation with a named account</w:t>
            </w:r>
          </w:p>
        </w:tc>
        <w:tc>
          <w:tcPr>
            <w:tcW w:type="dxa" w:w="2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Finds 1–2 topics tailored to a customer's vertical and persona, with a clear "why this matters to them" hook</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Presales &amp; proposal teams</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Something genuinely different in RFPs — use cases, proof points and the ecosystem angle in one place</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Differentiate a specific bid and assemble the supporting material</w:t>
            </w:r>
          </w:p>
        </w:tc>
        <w:tc>
          <w:tcPr>
            <w:tcW w:type="dxa" w:w="2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Identifies a differentiating RFP topic and sees how it connects to offerings, partners, proof points or references</w:t>
            </w:r>
          </w:p>
        </w:tc>
      </w:tr>
    </w:tbl>
    <w:p>
      <w:pPr>
        <w:spacing w:after="200" w:before="60"/>
      </w:pPr>
      <w:r>
        <w:rPr>
          <w:i/>
          <w:iCs/>
          <w:color w:val="595959"/>
          <w:sz w:val="16"/>
          <w:szCs w:val="16"/>
        </w:rPr>
        <w:t xml:space="preserve">Table 6 — The three personas, their needs and their persona-specific acceptance criteria.</w:t>
      </w:r>
    </w:p>
    <w:p>
      <w:pPr>
        <w:spacing w:after="120" w:line="276"/>
      </w:pPr>
      <w:r>
        <w:rPr>
          <w:i w:val="false"/>
          <w:iCs w:val="false"/>
          <w:sz w:val="20"/>
          <w:szCs w:val="20"/>
        </w:rPr>
        <w:t xml:space="preserve">The three personas share a data model but not a ranking. The same topic can be excellent for a strategist (large, early, no proof points yet) and useless for a salesperson (nothing to show a customer). The system must express this as different default ranking functions per role mode, not as a single score with different filters.</w:t>
      </w:r>
    </w:p>
    <w:p>
      <w:pPr>
        <w:pStyle w:val="Heading2"/>
        <w:spacing w:after="120" w:before="280"/>
      </w:pPr>
      <w:r>
        <w:rPr>
          <w:b/>
          <w:bCs/>
          <w:color w:val="FF7900"/>
          <w:sz w:val="26"/>
          <w:szCs w:val="26"/>
        </w:rPr>
        <w:t xml:space="preserve">3.3 Business context: controlled vocabularies</w:t>
      </w:r>
    </w:p>
    <w:p>
      <w:pPr>
        <w:spacing w:after="120" w:line="276"/>
      </w:pPr>
      <w:r>
        <w:rPr>
          <w:i w:val="false"/>
          <w:iCs w:val="false"/>
          <w:sz w:val="20"/>
          <w:szCs w:val="20"/>
        </w:rPr>
        <w:t xml:space="preserve">The briefing fixes three enumerations. They must be implemented as controlled vocabularies with stable identifiers, not as free text, because opportunity space identity, deduplication and filtering all depend on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7126"/>
      </w:tblGrid>
      <w:tr>
        <w:trPr>
          <w:cantSplit w:val="false"/>
          <w:tblHeader/>
        </w:trPr>
        <w:tc>
          <w:tcPr>
            <w:tcW w:type="dxa" w:w="1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Dimension</w:t>
            </w:r>
          </w:p>
        </w:tc>
        <w:tc>
          <w:tcPr>
            <w:tcW w:type="dxa" w:w="71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Values</w:t>
            </w:r>
          </w:p>
        </w:tc>
      </w:tr>
      <w:tr>
        <w:trPr>
          <w:cantSplit w:val="false"/>
          <w:tblHeader w:val="false"/>
        </w:trPr>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Business domains</w:t>
            </w:r>
          </w:p>
        </w:tc>
        <w:tc>
          <w:tcPr>
            <w:tcW w:type="dxa" w:w="7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OX: Smart Industries · Connectivity Solutions · Cybersecurity · Cloud · CX: Customer Experience · EX: Employee Experience</w:t>
            </w:r>
          </w:p>
        </w:tc>
      </w:tr>
      <w:tr>
        <w:trPr>
          <w:cantSplit w:val="false"/>
          <w:tblHeader w:val="false"/>
        </w:trPr>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 verticals</w:t>
            </w:r>
          </w:p>
        </w:tc>
        <w:tc>
          <w:tcPr>
            <w:tcW w:type="dxa" w:w="7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Manufacturing (incl. heavy industry, process manufacturing, consumer goods, forestry &amp; paper) · Retail · Finance, Banking, Insurance services · Public / Government sector · Defense · Automotive · Transportation &amp; Logistics · Construction · Life sciences · Energy · Wholesale · Media &amp; entertainment · Healthcare · Natural resources · Aerospace &amp; defense</w:t>
            </w:r>
          </w:p>
        </w:tc>
      </w:tr>
      <w:tr>
        <w:trPr>
          <w:cantSplit w:val="false"/>
          <w:tblHeader w:val="false"/>
        </w:trPr>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Target customer personas</w:t>
            </w:r>
          </w:p>
        </w:tc>
        <w:tc>
          <w:tcPr>
            <w:tcW w:type="dxa" w:w="7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CIOs · IT and network executives · Security executives · CISOs · CDOs · COOs &amp; production executives · CMOs &amp; CX executives · Industrial safety managers · Quality managers</w:t>
            </w:r>
          </w:p>
        </w:tc>
      </w:tr>
    </w:tbl>
    <w:p>
      <w:pPr>
        <w:spacing w:after="200" w:before="60"/>
      </w:pPr>
      <w:r>
        <w:rPr>
          <w:i/>
          <w:iCs/>
          <w:color w:val="595959"/>
          <w:sz w:val="16"/>
          <w:szCs w:val="16"/>
        </w:rPr>
        <w:t xml:space="preserve">Table 7 — Controlled vocabularies from the briefing deck.</w:t>
      </w:r>
    </w:p>
    <w:p>
      <w:pPr>
        <w:spacing w:after="120" w:line="276"/>
      </w:pPr>
      <w:r>
        <w:rPr>
          <w:i w:val="false"/>
          <w:iCs w:val="false"/>
          <w:sz w:val="20"/>
          <w:szCs w:val="20"/>
        </w:rPr>
        <w:t xml:space="preserve">Two vocabularies are not yet fixed and must be defined in Sprint 0: the use-case list and the technology list. The briefing gives examples only (energy optimisation, demand forecasting, IT operations automation, imaging analytics; cloud data platform, IoT platforms, computer vision, machine learning, generative AI). A tractable target is roughly 40–60 use cases and 25–40 technologies, each with a definition, synonyms and exclusions, so that an LLM can be constrained to emit only valid values.</w:t>
      </w:r>
    </w:p>
    <w:p>
      <w:pPr>
        <w:pStyle w:val="Heading2"/>
        <w:spacing w:after="120" w:before="280"/>
      </w:pPr>
      <w:r>
        <w:rPr>
          <w:b/>
          <w:bCs/>
          <w:color w:val="FF7900"/>
          <w:sz w:val="26"/>
          <w:szCs w:val="26"/>
        </w:rPr>
        <w:t xml:space="preserve">3.4 Definition of an opportunity space</w:t>
      </w:r>
    </w:p>
    <w:p>
      <w:pPr>
        <w:spacing w:after="120" w:line="276"/>
      </w:pPr>
      <w:r>
        <w:rPr>
          <w:i w:val="false"/>
          <w:iCs w:val="false"/>
          <w:sz w:val="20"/>
          <w:szCs w:val="20"/>
        </w:rPr>
        <w:t xml:space="preserve">An opportunity space is a specific innovation opportunity, not a broad technology theme. Formally:</w:t>
      </w:r>
    </w:p>
    <w:p>
      <w:pPr>
        <w:shd w:fill="F5F5F5" w:color="auto" w:val="clear"/>
        <w:spacing w:after="0" w:line="240"/>
      </w:pPr>
      <w:r>
        <w:rPr>
          <w:rFonts w:ascii="Consolas" w:cs="Consolas" w:eastAsia="Consolas" w:hAnsi="Consolas"/>
          <w:sz w:val="16"/>
          <w:szCs w:val="16"/>
        </w:rPr>
        <w:t xml:space="preserve">  Opportunity Space  =  Vertical  ×  Use Case  ×  Technology</w:t>
      </w:r>
    </w:p>
    <w:p>
      <w:pPr>
        <w:shd w:fill="F5F5F5" w:color="auto" w:val="clear"/>
        <w:spacing w:after="0" w:line="240"/>
      </w:pPr>
      <w:r>
        <w:rPr>
          <w:rFonts w:ascii="Consolas" w:cs="Consolas" w:eastAsia="Consolas" w:hAnsi="Consolas"/>
          <w:sz w:val="16"/>
          <w:szCs w:val="16"/>
        </w:rPr>
        <w:t xml:space="preserve">  OS001              =  Industry  ×  Energy optimization  ×  Computer Vision</w:t>
      </w:r>
    </w:p>
    <w:p>
      <w:pPr>
        <w:spacing w:after="120"/>
      </w:pPr>
      <w:r>
        <w:rPr>
          <w:sz w:val="12"/>
          <w:szCs w:val="12"/>
        </w:rPr>
        <w:t xml:space="preserve"/>
      </w:r>
    </w:p>
    <w:p>
      <w:pPr>
        <w:spacing w:after="120" w:line="276"/>
      </w:pPr>
      <w:r>
        <w:rPr>
          <w:i w:val="false"/>
          <w:iCs w:val="false"/>
          <w:sz w:val="20"/>
          <w:szCs w:val="20"/>
        </w:rPr>
        <w:t xml:space="preserve">The briefing is emphatic that specificity is the property that makes the radar usable by sales. "AI", "Cloud" and "Cybersecurity" are rejected as topics. The worked examples show the intended granularity: private 5G plus edge vision for safety compliance in mining; agentic AI for claims deflection in insurance contact centres; digital product passports and traceability for materials producers; network-as-a-sensor security analytics for banking WANs; predictive worker-safety wearables for chemicals plants; sovereign cloud and AI enclaves for government citizen data.</w:t>
      </w:r>
    </w:p>
    <w:p>
      <w:pPr>
        <w:spacing w:after="120" w:line="276"/>
      </w:pPr>
      <w:r>
        <w:rPr>
          <w:i w:val="false"/>
          <w:iCs w:val="false"/>
          <w:sz w:val="20"/>
          <w:szCs w:val="20"/>
        </w:rPr>
        <w:t xml:space="preserve">The triple is the identity key; the human-readable opportunity statement is a rendering of it. Both must be stored, because the triple gives deduplication and filtering while the statement gives the specificity a salesperson needs.</w:t>
      </w:r>
    </w:p>
    <w:p>
      <w:pPr>
        <w:pStyle w:val="Heading2"/>
        <w:spacing w:after="120" w:before="280"/>
      </w:pPr>
      <w:r>
        <w:rPr>
          <w:b/>
          <w:bCs/>
          <w:color w:val="FF7900"/>
          <w:sz w:val="26"/>
          <w:szCs w:val="26"/>
        </w:rPr>
        <w:t xml:space="preserve">3.5 Functional requirements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7526"/>
        <w:gridCol w:w="700"/>
      </w:tblGrid>
      <w:tr>
        <w:trPr>
          <w:cantSplit w:val="false"/>
          <w:tblHeader/>
        </w:trPr>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75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Requirement</w:t>
            </w:r>
          </w:p>
        </w:tc>
        <w:tc>
          <w:tcPr>
            <w:tcW w:type="dxa" w:w="7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FR-01</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Ingest external signals from configured sources: news, analyst publications, regulatory updates, market moves, technology announcements, procurement notices, research and patent activity.</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FR-02</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Normalise every ingested item to a common signal record with source, publisher, publication date, language, URL, geography and extracted text.</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FR-03</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Classify each signal by type: trend, regulation, buying signal, market move, technology maturity, proof signal.</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FR-04</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Extract candidate themes: repeated innovation phrases, emerging problems, new technology–use-case combinations.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FR-05</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Synthesise candidate opportunity spaces as Vertical × Use Case × Technology with a human-readable opportunity statement.</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FR-06</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Curate: reject generic themes, merge near-duplicates, and retain only specific, actionable opportunity spaces.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FR-07</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Compute an attractiveness score with the five components defined in SC-01, and expose the component breakdown.</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FR-08</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Classify each opportunity space into a time horizon: Now, Next or Later, with the reasoning recorded.</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FR-09</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Maintain a watchlist state for topics that are early signals but not yet full opportunity spaces, with explicit promotion and demotion criteria.</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FR-10</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Compute a right-to-win assessment from Orange assets: offers, references, partner status, certifications, analyst positions, expert capabilities and patents.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FR-11</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Render a visual radar dashboard positioning topics by attractiveness, urgency and right-to-win.</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FR-12</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Provide multi-select filtering on at least vertical, geography, domain and persona.</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FR-13</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Provide three role modes (Strategist, Sales, Presales), each with a distinct default ranking function and default filter set.</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FR-14</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Show, for each topic, a "why hot" rationale explicitly grounded in the listed signals, with every claim traceable to a signal record.</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FR-15</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Show, for each topic, a "why we can win" statement referencing specific internal entries (offers, references, customer overlap, partners).</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FR-16</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Show proof points: market size, pilots, business deals, published references.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FR-17</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Generate a next action per topic and per role: idea-generation prompt, customer conversation opener, or bid brief.</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FR-18</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Export a topic brief (PDF or slide-ready) containing statement, why hot, why we can win, proof points and sources.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FR-19</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Refresh the radar on a defined cadence, incrementally, and display the last refresh date per topic and globally.</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FR-20</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Preserve topic history: score trajectory, state transitions and signal accretion over time.</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FR-21</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 the number of topics shown in any one view to preserve signal-to-noise.</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FR-22</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Allow a persona + vertical combination to return topics ranked by the relevant radar criteria.</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FR-23</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Allow users to flag a topic as useful, not useful, or wrong, with a free-text reason, and store it for model improvement.</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FR-24</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Allow authorised users to inject an internal signal (a customer conversation, an RFP theme, a lost deal) as a first-class signal record.</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FR-25</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Support the collaborative workflow selected in Section 4.10, with topic ownership, stage and status.</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FR-26</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Provide a saved-view and subscription mechanism ("my vertical", "my accounts") with a periodic digest.</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FR-27</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Expose a read API so that topic data can be consumed by other Orange tools.</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FR-28</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Support at minimum English and French source ingestion, with topics rendered in English.</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FR-29</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Link every opportunity space to the Orange business: matching offers, references, partners, certifications, capabilities and research assets, each named and individually inspectable.</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FR-30</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Classify each link by type (L0 direct offer, L1 bundle, L2 partner-dependent, L3 adjacent, L4 white space) and derive a portfolio distance per opportunity space.</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FR-31</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Drive role-mode filtering from portfolio distance, so that each role sees the link types it can act on.</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FR-32</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Present a white-space view: opportunity spaces with high attractiveness and no path from the current portfolio.</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FR-33</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Support the reverse query: which offers have no live opportunity space attached to them.</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FR-34</w:t>
            </w:r>
          </w:p>
        </w:tc>
        <w:tc>
          <w:tcPr>
            <w:tcW w:type="dxa" w:w="7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Capture pairwise topic comparisons from users within the normal workflow, for use as training labels.</w:t>
            </w:r>
          </w:p>
        </w:tc>
        <w:tc>
          <w:tcPr>
            <w:tcW w:type="dxa" w:w="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FR-35</w:t>
            </w:r>
          </w:p>
        </w:tc>
        <w:tc>
          <w:tcPr>
            <w:tcW w:type="dxa" w:w="75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Support replaying the pipeline as of a past reference date, for backtesting, with all features restricted to data published before that date.</w:t>
            </w:r>
          </w:p>
        </w:tc>
        <w:tc>
          <w:tcPr>
            <w:tcW w:type="dxa" w:w="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bl>
    <w:p>
      <w:pPr>
        <w:spacing w:after="200" w:before="60"/>
      </w:pPr>
      <w:r>
        <w:rPr>
          <w:i/>
          <w:iCs/>
          <w:color w:val="595959"/>
          <w:sz w:val="16"/>
          <w:szCs w:val="16"/>
        </w:rPr>
        <w:t xml:space="preserve">Table 8 — Functional requirements.</w:t>
      </w:r>
    </w:p>
    <w:p>
      <w:pPr>
        <w:pStyle w:val="Heading2"/>
        <w:spacing w:after="120" w:before="280"/>
      </w:pPr>
      <w:r>
        <w:rPr>
          <w:b/>
          <w:bCs/>
          <w:color w:val="FF7900"/>
          <w:sz w:val="26"/>
          <w:szCs w:val="26"/>
        </w:rPr>
        <w:t xml:space="preserve">3.6 Data requirements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7226"/>
        <w:gridCol w:w="1000"/>
      </w:tblGrid>
      <w:tr>
        <w:trPr>
          <w:cantSplit w:val="false"/>
          <w:tblHeader/>
        </w:trPr>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72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Requirement</w:t>
            </w:r>
          </w:p>
        </w:tc>
        <w:tc>
          <w:tcPr>
            <w:tcW w:type="dxa" w:w="1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DR-01</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signal record stores: identifier, source, publisher, publication date, ingestion date, language, geography, URL, signal type, extracted text span and a source-tier rating.</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DR-02</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opportunity space stores: identifier, vertical, use case, technology, opportunity statement, score components, horizon, state, linked signal identifiers, linked internal assets, created and updated timestamps.</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DR-03</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Identifiers are stable across refreshes; a topic that recurs is updated, not recreated.</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DR-04</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Signals mix qualitative and quantitative evidence and are dated; undated evidence is either dated by inference at ingestion or rejected.</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DR-05</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score component is stored with the inputs used to compute it, so any number can be reproduced.</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DR-06</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internal asset catalogue covers, at MVP: offer catalogue, published reference cases, partner statuses, certifications, analyst positions and expert capability counts.</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DR-07</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Phase 2 adds CRM-derived data: customer overlap, opportunity count, pipeline value, offering match, people capability.</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 (phase 2)</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DR-08</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content is stored by reference (URL plus short extract), not mirrored in full, and robots.txt, terms of use and licence terms are respected per source.</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DR-09</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personal data is stored beyond what is strictly necessary; named individuals in news items are not indexed as entities in the MVP.</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DR-10</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stored artefact records the pipeline version, prompt version and — once a learned model is in use — the model version that produced it.</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DR-11</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Orange Business Graph stores offers, references, partners, certifications, analyst positions, capability pools, research assets and taxonomy nodes, with typed, dated and sourced edges.</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DR-12</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Classification crosswalks (NACE, CPV, CPC/IPC, analyst categories, internal offer categories) are stored as versioned many-to-many mappings with a confidence weight and a named owner per row.</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DR-13</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link between an opportunity space and a business asset stores its type, confidence, supporting evidence and confirming curator.</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DR-14</w:t>
            </w:r>
          </w:p>
        </w:tc>
        <w:tc>
          <w:tcPr>
            <w:tcW w:type="dxa" w:w="7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archives are retained in raw form so that the pipeline can be replayed as of a past date without re-fetching.</w:t>
            </w:r>
          </w:p>
        </w:tc>
        <w:tc>
          <w:tcPr>
            <w:tcW w:type="dxa" w:w="1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DR-15</w:t>
            </w:r>
          </w:p>
        </w:tc>
        <w:tc>
          <w:tcPr>
            <w:tcW w:type="dxa" w:w="7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Feedback events (ratings, comparisons, engagement, overrides with reason) are stored with the exposure context needed to correct for presentation bias.</w:t>
            </w:r>
          </w:p>
        </w:tc>
        <w:tc>
          <w:tcPr>
            <w:tcW w:type="dxa" w:w="1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bl>
    <w:p>
      <w:pPr>
        <w:spacing w:after="200" w:before="60"/>
      </w:pPr>
      <w:r>
        <w:rPr>
          <w:i/>
          <w:iCs/>
          <w:color w:val="595959"/>
          <w:sz w:val="16"/>
          <w:szCs w:val="16"/>
        </w:rPr>
        <w:t xml:space="preserve">Table 9 — Data requirements.</w:t>
      </w:r>
    </w:p>
    <w:p>
      <w:pPr>
        <w:pStyle w:val="Heading2"/>
        <w:spacing w:after="120" w:before="280"/>
      </w:pPr>
      <w:r>
        <w:rPr>
          <w:b/>
          <w:bCs/>
          <w:color w:val="FF7900"/>
          <w:sz w:val="26"/>
          <w:szCs w:val="26"/>
        </w:rPr>
        <w:t xml:space="preserve">3.7 Business-linking requirements</w:t>
      </w:r>
    </w:p>
    <w:p>
      <w:pPr>
        <w:spacing w:after="120" w:line="276"/>
      </w:pPr>
      <w:r>
        <w:rPr>
          <w:i w:val="false"/>
          <w:iCs w:val="false"/>
          <w:sz w:val="20"/>
          <w:szCs w:val="20"/>
        </w:rPr>
        <w:t xml:space="preserve">The briefing's "can we play, can we win" questions require a structural answer. These requirements define it. They are separated from scoring because the link is useful in its own right: it tells a user which offer to talk about, independently of how the topic ranks.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7426"/>
        <w:gridCol w:w="800"/>
      </w:tblGrid>
      <w:tr>
        <w:trPr>
          <w:cantSplit w:val="false"/>
          <w:tblHeader/>
        </w:trPr>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74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Requirement</w:t>
            </w:r>
          </w:p>
        </w:tc>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LK-01</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Maintain a curated graph of Orange business assets: offers, references, partners with tiers, certifications, analyst positions, capability pools and research assets.</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LK-02</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Maintain versioned crosswalks between external classification schemes (NACE, CPV, CPC/IPC, analyst categories) and Orange's own vocabularies.</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LK-03</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Reconcile the fifteen verticals of the briefing deck with the twelve industry labels used in the published customer-story corpus.</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LK-04</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For every opportunity space, generate candidate links to business assets, filter them by taxonomy compatibility, and type them L0 to L4.</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LK-05</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Derive a portfolio distance per opportunity space from the link types present.</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LK-06</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Require curator confirmation for the first occurrence of each link pattern; store confirmations and rejections as training data.</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LK-07</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Re-validate links on the internal-catalogue refresh cycle; flag topics whose supporting offer has been withdrawn or whose partner tier has changed.</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LK-08</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Expose links in the topic detail view as named, individually inspectable items with their evidence, never as an aggregate assertion.</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LK-09</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Support graph queries in both directions: assets for a topic, and topics for an asset.</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bl>
    <w:p>
      <w:pPr>
        <w:spacing w:after="200" w:before="60"/>
      </w:pPr>
      <w:r>
        <w:rPr>
          <w:i/>
          <w:iCs/>
          <w:color w:val="595959"/>
          <w:sz w:val="16"/>
          <w:szCs w:val="16"/>
        </w:rPr>
        <w:t xml:space="preserve">Table 10 — Business-linking requirements.</w:t>
      </w:r>
    </w:p>
    <w:p>
      <w:pPr>
        <w:pStyle w:val="Heading2"/>
        <w:spacing w:after="120" w:before="280"/>
      </w:pPr>
      <w:r>
        <w:rPr>
          <w:b/>
          <w:bCs/>
          <w:color w:val="FF7900"/>
          <w:sz w:val="26"/>
          <w:szCs w:val="26"/>
        </w:rPr>
        <w:t xml:space="preserve">3.8 Scoring requirements</w:t>
      </w:r>
    </w:p>
    <w:p>
      <w:pPr>
        <w:spacing w:after="120" w:line="276"/>
      </w:pPr>
      <w:r>
        <w:rPr>
          <w:i w:val="false"/>
          <w:iCs w:val="false"/>
          <w:sz w:val="20"/>
          <w:szCs w:val="20"/>
        </w:rPr>
        <w:t xml:space="preserve">The briefing is explicit that the scoring model must not produce only a number — it must explain the number, and if a user cannot explain why a topic is ranked where it is, the scoring is not good enough. That is the governing constraint on every choice below.</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7426"/>
        <w:gridCol w:w="800"/>
      </w:tblGrid>
      <w:tr>
        <w:trPr>
          <w:cantSplit w:val="false"/>
          <w:tblHeader/>
        </w:trPr>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74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Requirement</w:t>
            </w:r>
          </w:p>
        </w:tc>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SC-01</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Attractiveness combines five components. Indicative weighting from the briefing, to be calibrated: market signal strength 30%, source diversity 20%, evidence quality 20%, novelty and momentum 15%, Orange Business strategic relevance 15%.</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SC-02</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Market signal strength measures how visible the topic is in external sources.</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SC-03</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diversity measures whether the signal appears across multiple independent sources.</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SC-04</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Evidence quality measures whether the external signal is relevant and credible.</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SC-05</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Novelty and momentum measures whether the topic is emerging, rising or changing.</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SC-06</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Strategic relevance measures fit with the Orange Business context, computed against the three Trust the future ambitions and the privileged verticals.</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SC-07</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Each topic exposes: attractiveness score, urgency / time horizon, source evidence, signal type, "why hot now", "why this matters" and a recommended next action.</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SC-08</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High attractiveness requires that the opportunity is visible in the market, supported by credible sources, specific enough to become a business topic, relevant to Orange Business domains and backed by sufficient market potential.</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SC-09</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Low attractiveness is assigned where the signal is weak, generic, one-off, vendor-specific, or not clearly connected to Orange Business priorities.</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SC-10</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Weights are configurable without code changes, and every published score records the weight set used.</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SC-11</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Scores are reproducible: identical inputs and identical configuration yield identical output.</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SC-12</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is scored and displayed separately from attractiveness; the two are never collapsed into one number.</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SC-13</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Where reference density or offer coverage for a (vertical × domain) cell is below threshold, the topic carries an explicit evidence-gap warning.</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SC-14</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Internal data is used in phase 2 to fine-tune ranking and validate right-to-win; it adjusts but does not replace external discovery.</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 (phase 2)</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SC-15</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components are computed from the business graph as named query results, not asserted by a language model.</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SC-16</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Any learned scoring model must remain decomposable into named per-feature contributions; a score that cannot be explained is not published.</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SC-17</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transparent weighted model remains the standing challenger; a learned model is adopted only when it beats it on a temporal holdout.</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SC-18</w:t>
            </w:r>
          </w:p>
        </w:tc>
        <w:tc>
          <w:tcPr>
            <w:tcW w:type="dxa" w:w="7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Model evaluation uses temporal splits and is compared against a persistence baseline; random splits are not used.</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SC-19</w:t>
            </w:r>
          </w:p>
        </w:tc>
        <w:tc>
          <w:tcPr>
            <w:tcW w:type="dxa" w:w="7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Ranking is evaluated per role against expert preference, not as a single global score.</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bl>
    <w:p>
      <w:pPr>
        <w:spacing w:after="200" w:before="60"/>
      </w:pPr>
      <w:r>
        <w:rPr>
          <w:i/>
          <w:iCs/>
          <w:color w:val="595959"/>
          <w:sz w:val="16"/>
          <w:szCs w:val="16"/>
        </w:rPr>
        <w:t xml:space="preserve">Table 11 — Scoring requirements.</w:t>
      </w:r>
    </w:p>
    <w:p>
      <w:pPr>
        <w:pStyle w:val="Heading2"/>
        <w:spacing w:after="120" w:before="280"/>
      </w:pPr>
      <w:r>
        <w:rPr>
          <w:b/>
          <w:bCs/>
          <w:color w:val="FF7900"/>
          <w:sz w:val="26"/>
          <w:szCs w:val="26"/>
        </w:rPr>
        <w:t xml:space="preserve">3.9 Acceptance criteria</w:t>
      </w:r>
    </w:p>
    <w:p>
      <w:pPr>
        <w:pStyle w:val="Heading3"/>
        <w:spacing w:after="100" w:before="220"/>
      </w:pPr>
      <w:r>
        <w:rPr>
          <w:b/>
          <w:bCs/>
          <w:color w:val="1A1A1A"/>
          <w:sz w:val="22"/>
          <w:szCs w:val="22"/>
        </w:rPr>
        <w:t xml:space="preserve">General user acceptance criteria</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3800"/>
        <w:gridCol w:w="3726"/>
      </w:tblGrid>
      <w:tr>
        <w:trPr>
          <w:cantSplit w:val="false"/>
          <w:tblHeader/>
        </w:trPr>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3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Criterion</w:t>
            </w:r>
          </w:p>
        </w:tc>
        <w:tc>
          <w:tcPr>
            <w:tcW w:type="dxa" w:w="37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How it is tested</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AC-01 Trust</w:t>
            </w:r>
          </w:p>
        </w:tc>
        <w:tc>
          <w:tcPr>
            <w:tcW w:type="dxa" w:w="3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topic explains why it is attractive or urgent, with visible sources or signals.</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Sample 20 topics; each "why hot" claim resolves to at least one dated, reachable source</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AC-02 Freshness</w:t>
            </w:r>
          </w:p>
        </w:tc>
        <w:tc>
          <w:tcPr>
            <w:tcW w:type="dxa" w:w="3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radar shows recent signals and the last refresh date.</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Refresh timestamp visible globally and per topic; median signal age within agreed bound</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AC-03 Actionability</w:t>
            </w:r>
          </w:p>
        </w:tc>
        <w:tc>
          <w:tcPr>
            <w:tcW w:type="dxa" w:w="3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topic has a clear next step: idea, deep-dive, or customer talking point.</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topic in every role mode renders a non-empty, role-appropriate next action</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AC-04 Filtering</w:t>
            </w:r>
          </w:p>
        </w:tc>
        <w:tc>
          <w:tcPr>
            <w:tcW w:type="dxa" w:w="3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Users can slice by vertical, geography, domain and persona.</w:t>
            </w:r>
          </w:p>
        </w:tc>
        <w:tc>
          <w:tcPr>
            <w:tcW w:type="dxa" w:w="3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All four dimensions available as multi-select; combination returns correctly filtered results</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AC-05 Signal-to-noise</w:t>
            </w:r>
          </w:p>
        </w:tc>
        <w:tc>
          <w:tcPr>
            <w:tcW w:type="dxa" w:w="3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Each view shows only a focused number of topics.</w:t>
            </w:r>
          </w:p>
        </w:tc>
        <w:tc>
          <w:tcPr>
            <w:tcW w:type="dxa" w:w="3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Default view capped; ranking demonstrably role-specific</w:t>
            </w:r>
          </w:p>
        </w:tc>
      </w:tr>
    </w:tbl>
    <w:p>
      <w:pPr>
        <w:spacing w:after="200" w:before="60"/>
      </w:pPr>
      <w:r>
        <w:rPr>
          <w:i/>
          <w:iCs/>
          <w:color w:val="595959"/>
          <w:sz w:val="16"/>
          <w:szCs w:val="16"/>
        </w:rPr>
        <w:t xml:space="preserve">Table 12 — General acceptance criteria from the briefing, with test method.</w:t>
      </w:r>
    </w:p>
    <w:p>
      <w:pPr>
        <w:pStyle w:val="Heading3"/>
        <w:spacing w:after="100" w:before="220"/>
      </w:pPr>
      <w:r>
        <w:rPr>
          <w:b/>
          <w:bCs/>
          <w:color w:val="1A1A1A"/>
          <w:sz w:val="22"/>
          <w:szCs w:val="22"/>
        </w:rPr>
        <w:t xml:space="preserve">Persona-specific acceptance criteria</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6"/>
      </w:tblGrid>
      <w:tr>
        <w:trPr>
          <w:cantSplit w:val="false"/>
          <w:tblHeader/>
        </w:trPr>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Persona</w:t>
            </w:r>
          </w:p>
        </w:tc>
        <w:tc>
          <w:tcPr>
            <w:tcW w:type="dxa" w:w="68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Criterion</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Innovator / Strategist</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 find at least 3 relevant topics for a chosen vertical or domain, see why they are hot, and decide quickly whether a deeper study is needed.</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Salesperson</w:t>
            </w:r>
          </w:p>
        </w:tc>
        <w:tc>
          <w:tcPr>
            <w:tcW w:type="dxa" w:w="6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 find 1–2 topics tailored to a customer's vertical and persona, with a clear "why this matters to them" conversation hook.</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Presales / Proposal team</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 identify a differentiating RFP topic and see how it connects to offerings, partners, proof points or references.</w:t>
            </w:r>
          </w:p>
        </w:tc>
      </w:tr>
    </w:tbl>
    <w:p>
      <w:pPr>
        <w:spacing w:after="200" w:before="60"/>
      </w:pPr>
      <w:r>
        <w:rPr>
          <w:i/>
          <w:iCs/>
          <w:color w:val="595959"/>
          <w:sz w:val="16"/>
          <w:szCs w:val="16"/>
        </w:rPr>
        <w:t xml:space="preserve">Table 13 — Persona-specific acceptance criteria from the briefing.</w:t>
      </w:r>
    </w:p>
    <w:p>
      <w:pPr>
        <w:spacing w:after="120" w:line="276"/>
      </w:pPr>
      <w:r>
        <w:rPr>
          <w:i w:val="false"/>
          <w:iCs w:val="false"/>
          <w:sz w:val="20"/>
          <w:szCs w:val="20"/>
        </w:rPr>
        <w:t xml:space="preserve">These are the criteria the MVP will be judged on. They should be run as scripted user tests with real people in each role, not as a demo. A practical protocol: give each tester a real upcoming meeting or bid, ask them to prepare with the radar, and measure whether they leave with something they would actually say out loud.</w:t>
      </w:r>
    </w:p>
    <w:p>
      <w:pPr>
        <w:pStyle w:val="Heading2"/>
        <w:spacing w:after="120" w:before="280"/>
      </w:pPr>
      <w:r>
        <w:rPr>
          <w:b/>
          <w:bCs/>
          <w:color w:val="FF7900"/>
          <w:sz w:val="26"/>
          <w:szCs w:val="26"/>
        </w:rPr>
        <w:t xml:space="preserve">3.10 Non-functional requirements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6426"/>
        <w:gridCol w:w="800"/>
      </w:tblGrid>
      <w:tr>
        <w:trPr>
          <w:cantSplit w:val="false"/>
          <w:tblHeader/>
        </w:trPr>
        <w:tc>
          <w:tcPr>
            <w:tcW w:type="dxa" w:w="1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ID</w:t>
            </w:r>
          </w:p>
        </w:tc>
        <w:tc>
          <w:tcPr>
            <w:tcW w:type="dxa" w:w="64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Requirement</w:t>
            </w:r>
          </w:p>
        </w:tc>
        <w:tc>
          <w:tcPr>
            <w:tcW w:type="dxa" w:w="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NFR-01 Explainability</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displayed number decomposes into named components and every qualitative claim links to a source. No opaque scores.</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NFR-02 Traceability</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Full lineage from displayed claim to raw ingested item, including model and prompt version.</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NFR-03 Auditability</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reviewer outside the project can reconstruct why any topic holds its rank.</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NFR-04 Freshness</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Incremental refresh completes within the agreed cadence window; stale topics are visibly marked.</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NFR-05 Sovereignty option</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architecture supports deployment where inference and data remain within controlled infrastructure.</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NFR-06 Data protection</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GDPR-compliant by design; minimal personal data; documented lawful basis; retention policy.</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NFR-07 Content licensing</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Ingestion respects source terms; storage is by reference and short extract; extracts shown in the UI are brief and attributed.</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NFR-08 Bias control</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tiering down-weights vendor marketing; language coverage is monitored so that non-English markets are not systematically under-represented.</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NFR-09 Performance</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Filtered radar view renders in under 2 seconds on the target topic volume.</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NFR-10 Cost</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Per-refresh compute and inference cost is measured and reported; the design permits substituting a cheaper or local model without re-architecture.</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NFR-11 Maintainability</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Taxonomies, source lists, prompts and weights are configuration, not code.</w:t>
            </w:r>
          </w:p>
        </w:tc>
        <w:tc>
          <w:tcPr>
            <w:tcW w:type="dxa" w:w="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NFR-12 Accessibility</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interface meets the accessibility standard applicable to Orange internal tooling.</w:t>
            </w:r>
          </w:p>
        </w:tc>
        <w:tc>
          <w:tcPr>
            <w:tcW w:type="dxa" w:w="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w:t>
            </w:r>
          </w:p>
        </w:tc>
      </w:tr>
    </w:tbl>
    <w:p>
      <w:pPr>
        <w:spacing w:after="200" w:before="60"/>
      </w:pPr>
      <w:r>
        <w:rPr>
          <w:i/>
          <w:iCs/>
          <w:color w:val="595959"/>
          <w:sz w:val="16"/>
          <w:szCs w:val="16"/>
        </w:rPr>
        <w:t xml:space="preserve">Table 14 — Non-functional requirements.</w:t>
      </w:r>
    </w:p>
    <w:p>
      <w:pPr>
        <w:pStyle w:val="Heading2"/>
        <w:spacing w:after="120" w:before="280"/>
      </w:pPr>
      <w:r>
        <w:rPr>
          <w:b/>
          <w:bCs/>
          <w:color w:val="FF7900"/>
          <w:sz w:val="26"/>
          <w:szCs w:val="26"/>
        </w:rPr>
        <w:t xml:space="preserve">3.11 MVP scope</w:t>
      </w:r>
    </w:p>
    <w:p>
      <w:pPr>
        <w:spacing w:after="120" w:line="276"/>
      </w:pPr>
      <w:r>
        <w:rPr>
          <w:i w:val="false"/>
          <w:iCs w:val="false"/>
          <w:sz w:val="20"/>
          <w:szCs w:val="20"/>
        </w:rPr>
        <w:t xml:space="preserve">In scope for the MVP, per the briefing's technical scope slide:</w:t>
      </w:r>
    </w:p>
    <w:p>
      <w:pPr>
        <w:pStyle w:val="ListParagraph"/>
        <w:numPr>
          <w:ilvl w:val="0"/>
          <w:numId w:val="2"/>
        </w:numPr>
        <w:spacing w:after="60" w:line="276"/>
      </w:pPr>
      <w:r>
        <w:rPr>
          <w:sz w:val="20"/>
          <w:szCs w:val="20"/>
        </w:rPr>
        <w:t xml:space="preserve">Define opportunity spaces as Vertical × Use Case × Technology.</w:t>
      </w:r>
    </w:p>
    <w:p>
      <w:pPr>
        <w:pStyle w:val="ListParagraph"/>
        <w:numPr>
          <w:ilvl w:val="0"/>
          <w:numId w:val="2"/>
        </w:numPr>
        <w:spacing w:after="60" w:line="276"/>
      </w:pPr>
      <w:r>
        <w:rPr>
          <w:sz w:val="20"/>
          <w:szCs w:val="20"/>
        </w:rPr>
        <w:t xml:space="preserve">A structured, repeatable, refreshable process for discovering and saving opportunity spaces.</w:t>
      </w:r>
    </w:p>
    <w:p>
      <w:pPr>
        <w:pStyle w:val="ListParagraph"/>
        <w:numPr>
          <w:ilvl w:val="0"/>
          <w:numId w:val="2"/>
        </w:numPr>
        <w:spacing w:after="60" w:line="276"/>
      </w:pPr>
      <w:r>
        <w:rPr>
          <w:sz w:val="20"/>
          <w:szCs w:val="20"/>
        </w:rPr>
        <w:t xml:space="preserve">An attractiveness scoring system for opportunity spaces.</w:t>
      </w:r>
    </w:p>
    <w:p>
      <w:pPr>
        <w:pStyle w:val="ListParagraph"/>
        <w:numPr>
          <w:ilvl w:val="0"/>
          <w:numId w:val="2"/>
        </w:numPr>
        <w:spacing w:after="60" w:line="276"/>
      </w:pPr>
      <w:r>
        <w:rPr>
          <w:sz w:val="20"/>
          <w:szCs w:val="20"/>
        </w:rPr>
        <w:t xml:space="preserve">A visual radar dashboard.</w:t>
      </w:r>
    </w:p>
    <w:p>
      <w:pPr>
        <w:pStyle w:val="ListParagraph"/>
        <w:numPr>
          <w:ilvl w:val="0"/>
          <w:numId w:val="2"/>
        </w:numPr>
        <w:spacing w:after="60" w:line="276"/>
      </w:pPr>
      <w:r>
        <w:rPr>
          <w:sz w:val="20"/>
          <w:szCs w:val="20"/>
        </w:rPr>
        <w:t xml:space="preserve">Watchlist logic: when a topic is kept as an early signal rather than promoted to a full opportunity space.</w:t>
      </w:r>
    </w:p>
    <w:p>
      <w:pPr>
        <w:pStyle w:val="ListParagraph"/>
        <w:numPr>
          <w:ilvl w:val="0"/>
          <w:numId w:val="2"/>
        </w:numPr>
        <w:spacing w:after="60" w:line="276"/>
      </w:pPr>
      <w:r>
        <w:rPr>
          <w:sz w:val="20"/>
          <w:szCs w:val="20"/>
        </w:rPr>
        <w:t xml:space="preserve">An external signal taxonomy: trend, regulation, buying signal, market move, technology maturity, proof signal.</w:t>
      </w:r>
    </w:p>
    <w:p>
      <w:pPr>
        <w:pStyle w:val="ListParagraph"/>
        <w:numPr>
          <w:ilvl w:val="0"/>
          <w:numId w:val="2"/>
        </w:numPr>
        <w:spacing w:after="60" w:line="276"/>
      </w:pPr>
      <w:r>
        <w:rPr>
          <w:sz w:val="20"/>
          <w:szCs w:val="20"/>
        </w:rPr>
        <w:t xml:space="preserve">Time-horizon logic: how topics are classified as Now, Next or Later.</w:t>
      </w:r>
    </w:p>
    <w:p>
      <w:pPr>
        <w:pStyle w:val="ListParagraph"/>
        <w:numPr>
          <w:ilvl w:val="0"/>
          <w:numId w:val="2"/>
        </w:numPr>
        <w:spacing w:after="60" w:line="276"/>
      </w:pPr>
      <w:r>
        <w:rPr>
          <w:sz w:val="20"/>
          <w:szCs w:val="20"/>
        </w:rPr>
        <w:t xml:space="preserve">The Orange Business Graph and the linking of opportunity spaces to it, including link typing and portfolio distance.</w:t>
      </w:r>
    </w:p>
    <w:p>
      <w:pPr>
        <w:pStyle w:val="ListParagraph"/>
        <w:numPr>
          <w:ilvl w:val="0"/>
          <w:numId w:val="2"/>
        </w:numPr>
        <w:spacing w:after="60" w:line="276"/>
      </w:pPr>
      <w:r>
        <w:rPr>
          <w:sz w:val="20"/>
          <w:szCs w:val="20"/>
        </w:rPr>
        <w:t xml:space="preserve">The classification crosswalks that make external data joinable to Orange's business.</w:t>
      </w:r>
    </w:p>
    <w:p>
      <w:pPr>
        <w:pStyle w:val="ListParagraph"/>
        <w:numPr>
          <w:ilvl w:val="0"/>
          <w:numId w:val="2"/>
        </w:numPr>
        <w:spacing w:after="60" w:line="276"/>
      </w:pPr>
      <w:r>
        <w:rPr>
          <w:sz w:val="20"/>
          <w:szCs w:val="20"/>
        </w:rPr>
        <w:t xml:space="preserve">Feedback and comparison capture, and a replayable pipeline, so that the learned models of Section 4.7 become possible without re-engineering.</w:t>
      </w:r>
    </w:p>
    <w:p>
      <w:pPr>
        <w:spacing w:after="80"/>
      </w:pPr>
      <w:r>
        <w:rPr>
          <w:sz w:val="12"/>
          <w:szCs w:val="12"/>
        </w:rPr>
        <w:t xml:space="preserve"/>
      </w:r>
    </w:p>
    <w:p>
      <w:pPr>
        <w:spacing w:after="120" w:line="276"/>
      </w:pPr>
      <w:r>
        <w:rPr>
          <w:i w:val="false"/>
          <w:iCs w:val="false"/>
          <w:sz w:val="20"/>
          <w:szCs w:val="20"/>
        </w:rPr>
        <w:t xml:space="preserve">Explicitly out of scope for the MVP, with the reason: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cantSplit w:val="false"/>
          <w:tblHeader/>
        </w:trPr>
        <w:tc>
          <w:tcPr>
            <w:tcW w:type="dxa" w:w="2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Excluded</w:t>
            </w:r>
          </w:p>
        </w:tc>
        <w:tc>
          <w:tcPr>
            <w:tcW w:type="dxa" w:w="62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Reason</w:t>
            </w:r>
          </w:p>
        </w:tc>
      </w:tr>
      <w:tr>
        <w:trPr>
          <w:cantSplit w:val="false"/>
          <w:tblHeader w:val="false"/>
        </w:trPr>
        <w:tc>
          <w:tcPr>
            <w:tcW w:type="dxa" w:w="2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CRM integration and pipeline-value calibration</w:t>
            </w:r>
          </w:p>
        </w:tc>
        <w:tc>
          <w:tcPr>
            <w:tcW w:type="dxa" w:w="6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Deferred by the briefing to the phase after the external discovery and scoring model is finalised; public assets give a sufficient right-to-win proxy in the meantime</w:t>
            </w:r>
          </w:p>
        </w:tc>
      </w:tr>
      <w:tr>
        <w:trPr>
          <w:cantSplit w:val="false"/>
          <w:tblHeader w:val="false"/>
        </w:trPr>
        <w:tc>
          <w:tcPr>
            <w:tcW w:type="dxa" w:w="2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Automated generation of go-to-market collateral</w:t>
            </w:r>
          </w:p>
        </w:tc>
        <w:tc>
          <w:tcPr>
            <w:tcW w:type="dxa" w:w="6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Depends on the collaboration model being agreed; belongs to the presales stage of Section 4.10</w:t>
            </w:r>
          </w:p>
        </w:tc>
      </w:tr>
      <w:tr>
        <w:trPr>
          <w:cantSplit w:val="false"/>
          <w:tblHeader w:val="false"/>
        </w:trPr>
        <w:tc>
          <w:tcPr>
            <w:tcW w:type="dxa" w:w="2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Full multilingual UI</w:t>
            </w:r>
          </w:p>
        </w:tc>
        <w:tc>
          <w:tcPr>
            <w:tcW w:type="dxa" w:w="6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English UI with English and French ingestion is sufficient to validate the concept</w:t>
            </w:r>
          </w:p>
        </w:tc>
      </w:tr>
      <w:tr>
        <w:trPr>
          <w:cantSplit w:val="false"/>
          <w:tblHeader w:val="false"/>
        </w:trPr>
        <w:tc>
          <w:tcPr>
            <w:tcW w:type="dxa" w:w="2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Predictive forecasting of market size</w:t>
            </w:r>
          </w:p>
        </w:tc>
        <w:tc>
          <w:tcPr>
            <w:tcW w:type="dxa" w:w="6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MVP sizes opportunities from published figures with attribution; modelled forecasts require a validation approach that does not yet exist</w:t>
            </w:r>
          </w:p>
        </w:tc>
      </w:tr>
      <w:tr>
        <w:trPr>
          <w:cantSplit w:val="false"/>
          <w:tblHeader w:val="false"/>
        </w:trPr>
        <w:tc>
          <w:tcPr>
            <w:tcW w:type="dxa" w:w="2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Learned scoring models in production</w:t>
            </w:r>
          </w:p>
        </w:tc>
        <w:tc>
          <w:tcPr>
            <w:tcW w:type="dxa" w:w="6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labels exist on day one. The MVP ships the transparent baseline and builds the data capture and replay harness the learned models need; the models themselves are phase 2</w:t>
            </w:r>
          </w:p>
        </w:tc>
      </w:tr>
      <w:tr>
        <w:trPr>
          <w:cantSplit w:val="false"/>
          <w:tblHeader w:val="false"/>
        </w:trPr>
        <w:tc>
          <w:tcPr>
            <w:tcW w:type="dxa" w:w="2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Write-back into Orange systems of record</w:t>
            </w:r>
          </w:p>
        </w:tc>
        <w:tc>
          <w:tcPr>
            <w:tcW w:type="dxa" w:w="6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Requires integration governance beyond MVP timescales</w:t>
            </w:r>
          </w:p>
        </w:tc>
      </w:tr>
    </w:tbl>
    <w:p>
      <w:pPr>
        <w:spacing w:after="200" w:before="60"/>
      </w:pPr>
      <w:r>
        <w:rPr>
          <w:i/>
          <w:iCs/>
          <w:color w:val="595959"/>
          <w:sz w:val="16"/>
          <w:szCs w:val="16"/>
        </w:rPr>
        <w:t xml:space="preserve">Table 15 — MVP exclusions and rationale.</w:t>
      </w:r>
    </w:p>
    <w:p>
      <w:r>
        <w:br w:type="page"/>
      </w:r>
    </w:p>
    <w:p>
      <w:pPr>
        <w:pStyle w:val="Heading1"/>
        <w:spacing w:after="160" w:before="360"/>
      </w:pPr>
      <w:r>
        <w:rPr>
          <w:b/>
          <w:bCs/>
          <w:color w:val="1A1A1A"/>
          <w:sz w:val="32"/>
          <w:szCs w:val="32"/>
        </w:rPr>
        <w:t xml:space="preserve">4. Proposed approach</w:t>
      </w:r>
    </w:p>
    <w:p>
      <w:pPr>
        <w:spacing w:after="120" w:line="276"/>
      </w:pPr>
      <w:r>
        <w:rPr>
          <w:i w:val="false"/>
          <w:iCs w:val="false"/>
          <w:sz w:val="20"/>
          <w:szCs w:val="20"/>
        </w:rPr>
        <w:t xml:space="preserve">Everything in this section is a proposal. It is written to be argued with, and several choices are flagged as decisions rather than conclusions. The intent is to give the team enough concrete structure to start building in Sprint 1 without pre-committing to anything that would be expensive to reverse.</w:t>
      </w:r>
    </w:p>
    <w:p>
      <w:pPr>
        <w:pStyle w:val="Heading2"/>
        <w:spacing w:after="120" w:before="280"/>
      </w:pPr>
      <w:r>
        <w:rPr>
          <w:b/>
          <w:bCs/>
          <w:color w:val="FF7900"/>
          <w:sz w:val="26"/>
          <w:szCs w:val="26"/>
        </w:rPr>
        <w:t xml:space="preserve">4.1 Guiding principles</w:t>
      </w:r>
    </w:p>
    <w:p>
      <w:pPr>
        <w:pStyle w:val="ListParagraph"/>
        <w:numPr>
          <w:ilvl w:val="0"/>
          <w:numId w:val="4"/>
        </w:numPr>
        <w:spacing w:after="60" w:line="276"/>
      </w:pPr>
      <w:r>
        <w:rPr>
          <w:b/>
          <w:bCs/>
          <w:i w:val="false"/>
          <w:iCs w:val="false"/>
          <w:sz w:val="20"/>
          <w:szCs w:val="20"/>
        </w:rPr>
        <w:t xml:space="preserve">Evidence before generation. </w:t>
      </w:r>
      <w:r>
        <w:rPr>
          <w:sz w:val="20"/>
          <w:szCs w:val="20"/>
        </w:rPr>
        <w:t xml:space="preserve">The language model never invents an opportunity space out of its own knowledge. It only reorganises retrieved, dated, attributable evidence. This single rule eliminates most of the failure modes that make AI-generated trend reports untrustworthy.</w:t>
      </w:r>
    </w:p>
    <w:p>
      <w:pPr>
        <w:pStyle w:val="ListParagraph"/>
        <w:numPr>
          <w:ilvl w:val="0"/>
          <w:numId w:val="4"/>
        </w:numPr>
        <w:spacing w:after="60" w:line="276"/>
      </w:pPr>
      <w:r>
        <w:rPr>
          <w:b/>
          <w:bCs/>
          <w:i w:val="false"/>
          <w:iCs w:val="false"/>
          <w:sz w:val="20"/>
          <w:szCs w:val="20"/>
        </w:rPr>
        <w:t xml:space="preserve">Deterministic where possible, generative where necessary. </w:t>
      </w:r>
      <w:r>
        <w:rPr>
          <w:sz w:val="20"/>
          <w:szCs w:val="20"/>
        </w:rPr>
        <w:t xml:space="preserve">Counting, diversity, recency and momentum are arithmetic and should be computed in code. Judgement — is this specific enough, does this fit Orange, what is the opener — is where the model earns its place.</w:t>
      </w:r>
    </w:p>
    <w:p>
      <w:pPr>
        <w:pStyle w:val="ListParagraph"/>
        <w:numPr>
          <w:ilvl w:val="0"/>
          <w:numId w:val="4"/>
        </w:numPr>
        <w:spacing w:after="60" w:line="276"/>
      </w:pPr>
      <w:r>
        <w:rPr>
          <w:b/>
          <w:bCs/>
          <w:i w:val="false"/>
          <w:iCs w:val="false"/>
          <w:sz w:val="20"/>
          <w:szCs w:val="20"/>
        </w:rPr>
        <w:t xml:space="preserve">Two scores, never one. </w:t>
      </w:r>
      <w:r>
        <w:rPr>
          <w:sz w:val="20"/>
          <w:szCs w:val="20"/>
        </w:rPr>
        <w:t xml:space="preserve">Attractiveness (is the world moving) and right-to-win (can we play, can we win) answer different questions and are owned by different people. Collapsing them destroys the information the strategist needs.</w:t>
      </w:r>
    </w:p>
    <w:p>
      <w:pPr>
        <w:pStyle w:val="ListParagraph"/>
        <w:numPr>
          <w:ilvl w:val="0"/>
          <w:numId w:val="4"/>
        </w:numPr>
        <w:spacing w:after="60" w:line="276"/>
      </w:pPr>
      <w:r>
        <w:rPr>
          <w:b/>
          <w:bCs/>
          <w:i w:val="false"/>
          <w:iCs w:val="false"/>
          <w:sz w:val="20"/>
          <w:szCs w:val="20"/>
        </w:rPr>
        <w:t xml:space="preserve">Specificity is a measurable property. </w:t>
      </w:r>
      <w:r>
        <w:rPr>
          <w:sz w:val="20"/>
          <w:szCs w:val="20"/>
        </w:rPr>
        <w:t xml:space="preserve">It is the thing the briefing insists on, so it should be tested automatically, not left to reviewer taste. A candidate that does not resolve to exactly one vertical, one use case and one technology fails validation.</w:t>
      </w:r>
    </w:p>
    <w:p>
      <w:pPr>
        <w:pStyle w:val="ListParagraph"/>
        <w:numPr>
          <w:ilvl w:val="0"/>
          <w:numId w:val="4"/>
        </w:numPr>
        <w:spacing w:after="60" w:line="276"/>
      </w:pPr>
      <w:r>
        <w:rPr>
          <w:b/>
          <w:bCs/>
          <w:i w:val="false"/>
          <w:iCs w:val="false"/>
          <w:sz w:val="20"/>
          <w:szCs w:val="20"/>
        </w:rPr>
        <w:t xml:space="preserve">Free sources first. </w:t>
      </w:r>
      <w:r>
        <w:rPr>
          <w:sz w:val="20"/>
          <w:szCs w:val="20"/>
        </w:rPr>
        <w:t xml:space="preserve">Not only for cost. Free public sources are citable, reproducible and legally straightforward to reference in a customer-facing brief, which paid analyst content generally is not.</w:t>
      </w:r>
    </w:p>
    <w:p>
      <w:pPr>
        <w:pStyle w:val="ListParagraph"/>
        <w:numPr>
          <w:ilvl w:val="0"/>
          <w:numId w:val="4"/>
        </w:numPr>
        <w:spacing w:after="60" w:line="276"/>
      </w:pPr>
      <w:r>
        <w:rPr>
          <w:b/>
          <w:bCs/>
          <w:i w:val="false"/>
          <w:iCs w:val="false"/>
          <w:sz w:val="20"/>
          <w:szCs w:val="20"/>
        </w:rPr>
        <w:t xml:space="preserve">Design for the refresh, not the first run. </w:t>
      </w:r>
      <w:r>
        <w:rPr>
          <w:sz w:val="20"/>
          <w:szCs w:val="20"/>
        </w:rPr>
        <w:t xml:space="preserve">Any pipeline can produce an impressive first output. The hard requirement is that the second run six weeks later updates the same topics rather than producing a new, incomparable list.</w:t>
      </w:r>
    </w:p>
    <w:p>
      <w:pPr>
        <w:pStyle w:val="Heading2"/>
        <w:spacing w:after="120" w:before="280"/>
      </w:pPr>
      <w:r>
        <w:rPr>
          <w:b/>
          <w:bCs/>
          <w:color w:val="FF7900"/>
          <w:sz w:val="26"/>
          <w:szCs w:val="26"/>
        </w:rPr>
        <w:t xml:space="preserve">4.2 Reference architecture</w:t>
      </w:r>
    </w:p>
    <w:p>
      <w:pPr>
        <w:spacing w:after="120" w:line="276"/>
      </w:pPr>
      <w:r>
        <w:rPr>
          <w:i w:val="false"/>
          <w:iCs w:val="false"/>
          <w:sz w:val="20"/>
          <w:szCs w:val="20"/>
        </w:rPr>
        <w:t xml:space="preserve">The briefing's discovery process — Signals → Themes → Opportunity spaces → Scoring → Radar — maps onto seven pipeline stages. Each stage has a defined input and output contract, which allows stages to be developed, tested and replaced independently.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1500"/>
        <w:gridCol w:w="2700"/>
        <w:gridCol w:w="4326"/>
      </w:tblGrid>
      <w:tr>
        <w:trPr>
          <w:cantSplit w:val="false"/>
          <w:tblHeader/>
        </w:trPr>
        <w:tc>
          <w:tcPr>
            <w:tcW w:type="dxa" w:w="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t>
            </w:r>
          </w:p>
        </w:tc>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Stage</w:t>
            </w:r>
          </w:p>
        </w:tc>
        <w:tc>
          <w:tcPr>
            <w:tcW w:type="dxa" w:w="27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Input → Output</w:t>
            </w:r>
          </w:p>
        </w:tc>
        <w:tc>
          <w:tcPr>
            <w:tcW w:type="dxa" w:w="43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Implementation</w:t>
            </w:r>
          </w:p>
        </w:tc>
      </w:tr>
      <w:tr>
        <w:trPr>
          <w:cantSplit w:val="false"/>
          <w:tblHeader w:val="false"/>
        </w:trPr>
        <w:tc>
          <w:tcPr>
            <w:tcW w:type="dxa" w:w="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Collect</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configuration → raw items</w:t>
            </w:r>
          </w:p>
        </w:tc>
        <w:tc>
          <w:tcPr>
            <w:tcW w:type="dxa" w:w="4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Scheduled connectors per source: RSS/Atom, REST APIs, SPARQL, bulk downloads. Per-source rate limits, ETags, incremental cursors</w:t>
            </w:r>
          </w:p>
        </w:tc>
      </w:tr>
      <w:tr>
        <w:trPr>
          <w:cantSplit w:val="false"/>
          <w:tblHeader w:val="false"/>
        </w:trPr>
        <w:tc>
          <w:tcPr>
            <w:tcW w:type="dxa" w:w="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Normalise</w:t>
            </w:r>
          </w:p>
        </w:tc>
        <w:tc>
          <w:tcPr>
            <w:tcW w:type="dxa" w:w="2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Raw items → signal records</w:t>
            </w:r>
          </w:p>
        </w:tc>
        <w:tc>
          <w:tcPr>
            <w:tcW w:type="dxa" w:w="4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Deduplicate by URL and content hash; language detection; date extraction; geography tagging; boilerplate stripping</w:t>
            </w:r>
          </w:p>
        </w:tc>
      </w:tr>
      <w:tr>
        <w:trPr>
          <w:cantSplit w:val="false"/>
          <w:tblHeader w:val="false"/>
        </w:trPr>
        <w:tc>
          <w:tcPr>
            <w:tcW w:type="dxa" w:w="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Classify &amp; filter</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records → typed, tiered signals</w:t>
            </w:r>
          </w:p>
        </w:tc>
        <w:tc>
          <w:tcPr>
            <w:tcW w:type="dxa" w:w="4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Signal-type classification (six types); source tiering; relevance gate against the business context so obviously irrelevant items are dropped cheaply before any expensive step</w:t>
            </w:r>
          </w:p>
        </w:tc>
      </w:tr>
      <w:tr>
        <w:trPr>
          <w:cantSplit w:val="false"/>
          <w:tblHeader w:val="false"/>
        </w:trPr>
        <w:tc>
          <w:tcPr>
            <w:tcW w:type="dxa" w:w="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Extract themes</w:t>
            </w:r>
          </w:p>
        </w:tc>
        <w:tc>
          <w:tcPr>
            <w:tcW w:type="dxa" w:w="2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Signals → theme clusters</w:t>
            </w:r>
          </w:p>
        </w:tc>
        <w:tc>
          <w:tcPr>
            <w:tcW w:type="dxa" w:w="4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Embedding of signal spans; density-based clustering; per-cluster keyphrase extraction; cluster tracking across refreshes</w:t>
            </w:r>
          </w:p>
        </w:tc>
      </w:tr>
      <w:tr>
        <w:trPr>
          <w:cantSplit w:val="false"/>
          <w:tblHeader w:val="false"/>
        </w:trPr>
        <w:tc>
          <w:tcPr>
            <w:tcW w:type="dxa" w:w="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5</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Synthesise</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Theme clusters + taxonomy → candidate opportunity spaces</w:t>
            </w:r>
          </w:p>
        </w:tc>
        <w:tc>
          <w:tcPr>
            <w:tcW w:type="dxa" w:w="4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Constrained generation into the Vertical × Use Case × Technology schema with mandatory signal citations</w:t>
            </w:r>
          </w:p>
        </w:tc>
      </w:tr>
      <w:tr>
        <w:trPr>
          <w:cantSplit w:val="false"/>
          <w:tblHeader w:val="false"/>
        </w:trPr>
        <w:tc>
          <w:tcPr>
            <w:tcW w:type="dxa" w:w="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6</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Curate &amp; score</w:t>
            </w:r>
          </w:p>
        </w:tc>
        <w:tc>
          <w:tcPr>
            <w:tcW w:type="dxa" w:w="2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Candidates → ranked opportunity spaces</w:t>
            </w:r>
          </w:p>
        </w:tc>
        <w:tc>
          <w:tcPr>
            <w:tcW w:type="dxa" w:w="4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Specificity validation; near-duplicate merge; deterministic score components; rubric-based strategic relevance; right-to-win join against the internal asset catalogue</w:t>
            </w:r>
          </w:p>
        </w:tc>
      </w:tr>
      <w:tr>
        <w:trPr>
          <w:cantSplit w:val="false"/>
          <w:tblHeader w:val="false"/>
        </w:trPr>
        <w:tc>
          <w:tcPr>
            <w:tcW w:type="dxa" w:w="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Serve</w:t>
            </w:r>
          </w:p>
        </w:tc>
        <w:tc>
          <w:tcPr>
            <w:tcW w:type="dxa" w:w="2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Scored topics → radar, briefs, API</w:t>
            </w:r>
          </w:p>
        </w:tc>
        <w:tc>
          <w:tcPr>
            <w:tcW w:type="dxa" w:w="4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Read model, role-specific ranking, filtering, export, feedback capture</w:t>
            </w:r>
          </w:p>
        </w:tc>
      </w:tr>
    </w:tbl>
    <w:p>
      <w:pPr>
        <w:spacing w:after="200" w:before="60"/>
      </w:pPr>
      <w:r>
        <w:rPr>
          <w:i/>
          <w:iCs/>
          <w:color w:val="595959"/>
          <w:sz w:val="16"/>
          <w:szCs w:val="16"/>
        </w:rPr>
        <w:t xml:space="preserve">Table 16 — Pipeline stages and their contracts.</w:t>
      </w:r>
    </w:p>
    <w:p>
      <w:pPr>
        <w:spacing w:after="120" w:line="276"/>
      </w:pPr>
      <w:r>
        <w:rPr>
          <w:i w:val="false"/>
          <w:iCs w:val="false"/>
          <w:sz w:val="20"/>
          <w:szCs w:val="20"/>
        </w:rPr>
        <w:t xml:space="preserve">A parallel, slower-cadence path maintains the internal asset catalogue (offers, references, partner tiers, certifications, analyst positions, patents). It refreshes monthly rather than weekly, and joins to topics at stage 6. Keeping it separate means the right-to-win model can be improved without re-running discovery.</w:t>
      </w:r>
    </w:p>
    <w:p>
      <w:pPr>
        <w:pStyle w:val="Heading2"/>
        <w:spacing w:after="120" w:before="280"/>
      </w:pPr>
      <w:r>
        <w:rPr>
          <w:b/>
          <w:bCs/>
          <w:color w:val="FF7900"/>
          <w:sz w:val="26"/>
          <w:szCs w:val="26"/>
        </w:rPr>
        <w:t xml:space="preserve">4.3 Data sources</w:t>
      </w:r>
    </w:p>
    <w:p>
      <w:pPr>
        <w:spacing w:after="120" w:line="276"/>
      </w:pPr>
      <w:r>
        <w:rPr>
          <w:i w:val="false"/>
          <w:iCs w:val="false"/>
          <w:sz w:val="20"/>
          <w:szCs w:val="20"/>
        </w:rPr>
        <w:t xml:space="preserve">The brief asks specifically for free sources across four needs: finding opportunity spaces, predicting trends, sizing markets, and understanding shifts in geopolitics, regulation, demography and technology adoption. The catalogue below is organised by what each source is good for. Appendix A gives the consolidated list with access notes.</w:t>
      </w:r>
    </w:p>
    <w:p>
      <w:pPr>
        <w:pStyle w:val="Heading3"/>
        <w:spacing w:after="100" w:before="220"/>
      </w:pPr>
      <w:r>
        <w:rPr>
          <w:b/>
          <w:bCs/>
          <w:color w:val="1A1A1A"/>
          <w:sz w:val="22"/>
          <w:szCs w:val="22"/>
        </w:rPr>
        <w:t xml:space="preserve">4.3.1 Signals: what the world is talking about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3000"/>
        <w:gridCol w:w="4026"/>
      </w:tblGrid>
      <w:tr>
        <w:trPr>
          <w:cantSplit w:val="false"/>
          <w:tblHeader/>
        </w:trPr>
        <w:tc>
          <w:tcPr>
            <w:tcW w:type="dxa" w:w="2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3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gives</w:t>
            </w:r>
          </w:p>
        </w:tc>
        <w:tc>
          <w:tcPr>
            <w:tcW w:type="dxa" w:w="40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Why it matters here</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GDELT Project</w:t>
            </w:r>
          </w:p>
        </w:tc>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Global news events and themes, 100+ languages, updated every 15 minutes; free bulk files and BigQuery access</w:t>
            </w:r>
          </w:p>
        </w:tc>
        <w:tc>
          <w:tcPr>
            <w:tcW w:type="dxa" w:w="4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strongest single source for market signal strength, source diversity and momentum, because it is already deduplicated across outlets and carries geography and tone</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Google News RSS / Bing News RSS</w:t>
            </w:r>
          </w:p>
        </w:tc>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Query-driven news feeds</w:t>
            </w:r>
          </w:p>
        </w:tc>
        <w:tc>
          <w:tcPr>
            <w:tcW w:type="dxa" w:w="4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Cheap targeted monitoring of a specific vertical × technology query once candidates exist</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Company newsrooms and press-release wires</w:t>
            </w:r>
          </w:p>
        </w:tc>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Vendor and customer announcements</w:t>
            </w:r>
          </w:p>
        </w:tc>
        <w:tc>
          <w:tcPr>
            <w:tcW w:type="dxa" w:w="4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Proof signals and market moves; must be tier-down-weighted as vendor marketing</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Hacker News, Reddit, Stack Overflow</w:t>
            </w:r>
          </w:p>
        </w:tc>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Practitioner attention</w:t>
            </w:r>
          </w:p>
        </w:tc>
        <w:tc>
          <w:tcPr>
            <w:tcW w:type="dxa" w:w="4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Early technology adoption signal, months ahead of analyst coverage; noisy and heavily anglophone</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Analyst press releases (Gartner, IDC, Forrester public pages)</w:t>
            </w:r>
          </w:p>
        </w:tc>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summaries of paid research</w:t>
            </w:r>
          </w:p>
        </w:tc>
        <w:tc>
          <w:tcPr>
            <w:tcW w:type="dxa" w:w="4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Legitimate to cite; the underlying reports are not free and must not be scraped</w:t>
            </w:r>
          </w:p>
        </w:tc>
      </w:tr>
    </w:tbl>
    <w:p>
      <w:pPr>
        <w:spacing w:after="200" w:before="60"/>
      </w:pPr>
      <w:r>
        <w:rPr>
          <w:i/>
          <w:iCs/>
          <w:color w:val="595959"/>
          <w:sz w:val="16"/>
          <w:szCs w:val="16"/>
        </w:rPr>
        <w:t xml:space="preserve">Table 17 — News and attention signals.</w:t>
      </w:r>
    </w:p>
    <w:p>
      <w:pPr>
        <w:pStyle w:val="Heading3"/>
        <w:spacing w:after="100" w:before="220"/>
      </w:pPr>
      <w:r>
        <w:rPr>
          <w:b/>
          <w:bCs/>
          <w:color w:val="1A1A1A"/>
          <w:sz w:val="22"/>
          <w:szCs w:val="22"/>
        </w:rPr>
        <w:t xml:space="preserve">4.3.2 Regulation: the most reliable urgency signal</w:t>
      </w:r>
    </w:p>
    <w:p>
      <w:pPr>
        <w:spacing w:after="120" w:line="276"/>
      </w:pPr>
      <w:r>
        <w:rPr>
          <w:i w:val="false"/>
          <w:iCs w:val="false"/>
          <w:sz w:val="20"/>
          <w:szCs w:val="20"/>
        </w:rPr>
        <w:t xml:space="preserve">Three of the six briefing examples are regulation-driven, and for good reason: a regulation with a compliance deadline creates a budgeted, dated, non-optional buying window. This is the highest-value signal category for the radar and it is entirely free and machine-readable.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300"/>
        <w:gridCol w:w="3326"/>
      </w:tblGrid>
      <w:tr>
        <w:trPr>
          <w:cantSplit w:val="false"/>
          <w:tblHeader/>
        </w:trPr>
        <w:tc>
          <w:tcPr>
            <w:tcW w:type="dxa" w:w="24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33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gives</w:t>
            </w:r>
          </w:p>
        </w:tc>
        <w:tc>
          <w:tcPr>
            <w:tcW w:type="dxa" w:w="33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Access</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EUR-Lex</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Full corpus of EU legal acts with metadata, subject matter and dates</w:t>
            </w:r>
          </w:p>
        </w:tc>
        <w:tc>
          <w:tcPr>
            <w:tcW w:type="dxa" w:w="3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web service and SPARQL endpoint over the CELLAR repository</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European Parliament Legislative Observatory (OEIL)</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Status and timeline of files in progress</w:t>
            </w:r>
          </w:p>
        </w:tc>
        <w:tc>
          <w:tcPr>
            <w:tcW w:type="dxa" w:w="3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web; identifies regulation before it applies</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EC "Have your say" portal</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Consultations, calls for evidence, planned initiatives</w:t>
            </w:r>
          </w:p>
        </w:tc>
        <w:tc>
          <w:tcPr>
            <w:tcW w:type="dxa" w:w="3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earliest formal indicator of a coming rule</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ENISA publications</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Threat landscape, foresight, sector guidance</w:t>
            </w:r>
          </w:p>
        </w:tc>
        <w:tc>
          <w:tcPr>
            <w:tcW w:type="dxa" w:w="3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reports; strong for cybersecurity opportunity spaces</w:t>
            </w:r>
          </w:p>
        </w:tc>
      </w:tr>
      <w:tr>
        <w:trPr>
          <w:cantSplit w:val="false"/>
          <w:tblHeader w:val="false"/>
        </w:trPr>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National regulators: Arcep, BNetzA, Ofcom, ANSSI, BIPT</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Sector rules, spectrum decisions, security requirements</w:t>
            </w:r>
          </w:p>
        </w:tc>
        <w:tc>
          <w:tcPr>
            <w:tcW w:type="dxa" w:w="33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needed because urgency is jurisdiction-specific</w:t>
            </w:r>
          </w:p>
        </w:tc>
      </w:tr>
      <w:tr>
        <w:trPr>
          <w:cantSplit w:val="false"/>
          <w:tblHeader w:val="false"/>
        </w:trPr>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NIST</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Standards timelines, notably post-quantum cryptography migration</w:t>
            </w:r>
          </w:p>
        </w:tc>
        <w:tc>
          <w:tcPr>
            <w:tcW w:type="dxa" w:w="33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directly supports quantum-safe topics where Orange already has an offer</w:t>
            </w:r>
          </w:p>
        </w:tc>
      </w:tr>
    </w:tbl>
    <w:p>
      <w:pPr>
        <w:spacing w:after="200" w:before="60"/>
      </w:pPr>
      <w:r>
        <w:rPr>
          <w:i/>
          <w:iCs/>
          <w:color w:val="595959"/>
          <w:sz w:val="16"/>
          <w:szCs w:val="16"/>
        </w:rPr>
        <w:t xml:space="preserve">Table 18 — Regulatory and policy sources.</w:t>
      </w:r>
    </w:p>
    <w:p>
      <w:pPr>
        <w:spacing w:after="120" w:line="276"/>
      </w:pPr>
      <w:r>
        <w:rPr>
          <w:i w:val="false"/>
          <w:iCs w:val="false"/>
          <w:sz w:val="20"/>
          <w:szCs w:val="20"/>
        </w:rPr>
        <w:t xml:space="preserve">Concrete regulatory anchors already relevant to Orange Business verticals: NIS2, DORA, the Cyber Resilience Act, the AI Act's phased application, the Ecodesign for Sustainable Products Regulation and its digital product passport obligations, the Data Act, and the EU Cloud sovereignty and certification agenda. Each of these has published dates, which convert directly into Now / Next / Later classification.</w:t>
      </w:r>
    </w:p>
    <w:p>
      <w:pPr>
        <w:pStyle w:val="Heading3"/>
        <w:spacing w:after="100" w:before="220"/>
      </w:pPr>
      <w:r>
        <w:rPr>
          <w:b/>
          <w:bCs/>
          <w:color w:val="1A1A1A"/>
          <w:sz w:val="22"/>
          <w:szCs w:val="22"/>
        </w:rPr>
        <w:t xml:space="preserve">4.3.3 Procurement: the buying signal nobody uses</w:t>
      </w:r>
    </w:p>
    <w:p>
      <w:pPr>
        <w:spacing w:after="120" w:line="276"/>
      </w:pPr>
      <w:r>
        <w:rPr>
          <w:i w:val="false"/>
          <w:iCs w:val="false"/>
          <w:sz w:val="20"/>
          <w:szCs w:val="20"/>
        </w:rPr>
        <w:t xml:space="preserve">TED (Tenders Electronic Daily) publishes every above-threshold public procurement notice in the EU, with CPV classification, contracting authority, country and value, under an open licence and with a free API. For the public sector, defense, healthcare, transport and energy verticals — five of Orange's fifteen — this is not a proxy for demand. It is demand, with a budget attached, in a structured format. Contract award notices additionally reveal who is winning, which feeds the competitive side of right-to-win.</w:t>
      </w:r>
    </w:p>
    <w:p>
      <w:pPr>
        <w:spacing w:after="120" w:line="276"/>
      </w:pPr>
      <w:r>
        <w:rPr>
          <w:i w:val="false"/>
          <w:iCs w:val="false"/>
          <w:sz w:val="20"/>
          <w:szCs w:val="20"/>
        </w:rPr>
        <w:t xml:space="preserve">This is, in our view, the single highest-leverage source that a conventional trend-scanning approach would miss, and it deserves a connector in Sprint 1. National equivalents (BOAMP in France, e-Procurement in Belgium, Contracts Finder in the UK) extend coverage below the EU threshold.</w:t>
      </w:r>
    </w:p>
    <w:p>
      <w:pPr>
        <w:pStyle w:val="Heading3"/>
        <w:spacing w:after="100" w:before="220"/>
      </w:pPr>
      <w:r>
        <w:rPr>
          <w:b/>
          <w:bCs/>
          <w:color w:val="1A1A1A"/>
          <w:sz w:val="22"/>
          <w:szCs w:val="22"/>
        </w:rPr>
        <w:t xml:space="preserve">4.3.4 Market size and adoption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6126"/>
      </w:tblGrid>
      <w:tr>
        <w:trPr>
          <w:cantSplit w:val="false"/>
          <w:tblHeader/>
        </w:trPr>
        <w:tc>
          <w:tcPr>
            <w:tcW w:type="dxa" w:w="2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61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gives</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Eurostat — ICT usage in enterprises survey</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Annual, per country, per sector, per enterprise size: adoption rates for cloud, AI, IoT, big data, e-commerce, security measures. Gives both a denominator for sizing and an adoption gap that is itself an opportunity</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Eurostat — Structural Business Statistics</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Enterprise counts, turnover and value added by NACE sector and size class: the denominator for any bottom-up TAM</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 Digital Decade / DESI indicators</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Digital adoption per country per dimension, with 2030 targets — adoption gaps against a policy target are a strong Next-horizon signal</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OECD Data Explorer, World Bank Open Data, IMF</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Macro, sectoral and investment series for markets outside the EU</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ITU DataHub</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Telecom and connectivity indicators worldwide</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IEA free datasets</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Energy demand, efficiency and electrification — relevant to energy, natural resources and smart-industry topics</w:t>
            </w:r>
          </w:p>
        </w:tc>
      </w:tr>
      <w:tr>
        <w:trPr>
          <w:cantSplit w:val="false"/>
          <w:tblHeader w:val="false"/>
        </w:trPr>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SEC EDGAR full-text search; company annual reports</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Segment revenue disclosures and management commentary usable to triangulate a market size with attribution</w:t>
            </w:r>
          </w:p>
        </w:tc>
      </w:tr>
      <w:tr>
        <w:trPr>
          <w:cantSplit w:val="false"/>
          <w:tblHeader w:val="false"/>
        </w:trPr>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National statistics offices (INSEE, Destatis, Statbel, ONS)</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Finer sectoral granularity where a topic is country-specific</w:t>
            </w:r>
          </w:p>
        </w:tc>
      </w:tr>
    </w:tbl>
    <w:p>
      <w:pPr>
        <w:spacing w:after="200" w:before="60"/>
      </w:pPr>
      <w:r>
        <w:rPr>
          <w:i/>
          <w:iCs/>
          <w:color w:val="595959"/>
          <w:sz w:val="16"/>
          <w:szCs w:val="16"/>
        </w:rPr>
        <w:t xml:space="preserve">Table 19 — Market sizing and adoption sources.</w:t>
      </w:r>
    </w:p>
    <w:p>
      <w:pPr>
        <w:spacing w:after="120" w:line="276"/>
      </w:pPr>
      <w:r>
        <w:rPr>
          <w:i w:val="false"/>
          <w:iCs w:val="false"/>
          <w:sz w:val="20"/>
          <w:szCs w:val="20"/>
        </w:rPr>
        <w:t xml:space="preserve">A caution worth building into the product: the headline market-size figures circulating in press coverage almost always originate from paid research houses, are quoted without methodology, and frequently conflict by an order of magnitude. The radar should prefer a transparent bottom-up estimate — enterprise count in the vertical × adoption rate × plausible contract value — and show its working, rather than repeating an unattributable billion-euro number. Where a published figure is used, it must be attributed and dated.</w:t>
      </w:r>
    </w:p>
    <w:p>
      <w:pPr>
        <w:pStyle w:val="Heading3"/>
        <w:spacing w:after="100" w:before="220"/>
      </w:pPr>
      <w:r>
        <w:rPr>
          <w:b/>
          <w:bCs/>
          <w:color w:val="1A1A1A"/>
          <w:sz w:val="22"/>
          <w:szCs w:val="22"/>
        </w:rPr>
        <w:t xml:space="preserve">4.3.5 Technology maturity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026"/>
      </w:tblGrid>
      <w:tr>
        <w:trPr>
          <w:cantSplit w:val="false"/>
          <w:tblHeader/>
        </w:trPr>
        <w:tc>
          <w:tcPr>
            <w:tcW w:type="dxa" w:w="3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60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gives</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Google Patents Public Data (BigQuery), EPO Open Patent Services, PATSTAT, USPTO PatentsView</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Filing volume and assignee trends per technology; a leading indicator with a multi-year lead over market coverage. Also lets the radar check whether Orange itself holds relevant patents</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OpenAlex, arXiv, Semantic Scholar</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Research publication volume and velocity per topic; fully open APIs</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CORDIS</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EU-funded research project with abstract, budget, participants and dates — shows what Europe has decided to fund, often with Orange or its partners as participants</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Standards bodies: 3GPP, ETSI, O-RAN Alliance, IETF, GSMA</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Release schedules and specification status; the most reliable way to date when a network technology becomes deployable</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GitHub Archive, PyPI and npm download statistics (BigQuery public datasets)</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Developer adoption telemetry for software technologies; leading and quantitative</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CNCF, Stack Overflow and JetBrains developer surveys</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Annual adoption snapshots, free and citable</w:t>
            </w:r>
          </w:p>
        </w:tc>
      </w:tr>
    </w:tbl>
    <w:p>
      <w:pPr>
        <w:spacing w:after="200" w:before="60"/>
      </w:pPr>
      <w:r>
        <w:rPr>
          <w:i/>
          <w:iCs/>
          <w:color w:val="595959"/>
          <w:sz w:val="16"/>
          <w:szCs w:val="16"/>
        </w:rPr>
        <w:t xml:space="preserve">Table 20 — Technology maturity sources.</w:t>
      </w:r>
    </w:p>
    <w:p>
      <w:pPr>
        <w:pStyle w:val="Heading3"/>
        <w:spacing w:after="100" w:before="220"/>
      </w:pPr>
      <w:r>
        <w:rPr>
          <w:b/>
          <w:bCs/>
          <w:color w:val="1A1A1A"/>
          <w:sz w:val="22"/>
          <w:szCs w:val="22"/>
        </w:rPr>
        <w:t xml:space="preserve">4.3.6 Foresight: geopolitics, demography, macro</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026"/>
      </w:tblGrid>
      <w:tr>
        <w:trPr>
          <w:cantSplit w:val="false"/>
          <w:tblHeader/>
        </w:trPr>
        <w:tc>
          <w:tcPr>
            <w:tcW w:type="dxa" w:w="3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c>
          <w:tcPr>
            <w:tcW w:type="dxa" w:w="60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gives</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EC Competence Centre on Foresight — Megatrends Hub, and the annual EU Strategic Foresight Report</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Structured, sourced megatrend framing that maps cleanly onto the radar's Later horizon</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UN World Population Prospects; Eurostat demography</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Ageing, workforce and urbanisation projections — the underlying driver behind healthcare, assisted-worker and public-service topics</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World Economic Forum Global Risks Report</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Free annual risk ranking, useful as a cross-check on which disruptions executives are already primed to discuss</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GDELT event streams; ACLED</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Geopolitical instability and conflict signals relevant to defense, sovereignty and supply-chain topics</w:t>
            </w:r>
          </w:p>
        </w:tc>
      </w:tr>
      <w:tr>
        <w:trPr>
          <w:cantSplit w:val="false"/>
          <w:tblHeader w:val="false"/>
        </w:trPr>
        <w:tc>
          <w:tcPr>
            <w:tcW w:type="dxa" w:w="3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 Joint Research Centre publications</w:t>
            </w:r>
          </w:p>
        </w:tc>
        <w:tc>
          <w:tcPr>
            <w:tcW w:type="dxa" w:w="6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Technology and policy analysis at sector level, free and citable</w:t>
            </w:r>
          </w:p>
        </w:tc>
      </w:tr>
      <w:tr>
        <w:trPr>
          <w:cantSplit w:val="false"/>
          <w:tblHeader w:val="false"/>
        </w:trPr>
        <w:tc>
          <w:tcPr>
            <w:tcW w:type="dxa" w:w="3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NATO and European Defence Agency public documents</w:t>
            </w:r>
          </w:p>
        </w:tc>
        <w:tc>
          <w:tcPr>
            <w:tcW w:type="dxa" w:w="6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Capability priorities that shape the defense vertical's demand</w:t>
            </w:r>
          </w:p>
        </w:tc>
      </w:tr>
    </w:tbl>
    <w:p>
      <w:pPr>
        <w:spacing w:after="200" w:before="60"/>
      </w:pPr>
      <w:r>
        <w:rPr>
          <w:i/>
          <w:iCs/>
          <w:color w:val="595959"/>
          <w:sz w:val="16"/>
          <w:szCs w:val="16"/>
        </w:rPr>
        <w:t xml:space="preserve">Table 21 — Foresight and macro sources.</w:t>
      </w:r>
    </w:p>
    <w:p>
      <w:pPr>
        <w:pStyle w:val="Heading3"/>
        <w:spacing w:after="100" w:before="220"/>
      </w:pPr>
      <w:r>
        <w:rPr>
          <w:b/>
          <w:bCs/>
          <w:color w:val="1A1A1A"/>
          <w:sz w:val="22"/>
          <w:szCs w:val="22"/>
        </w:rPr>
        <w:t xml:space="preserve">4.3.7 Source tiering</w:t>
      </w:r>
    </w:p>
    <w:p>
      <w:pPr>
        <w:spacing w:after="120" w:line="276"/>
      </w:pPr>
      <w:r>
        <w:rPr>
          <w:i w:val="false"/>
          <w:iCs w:val="false"/>
          <w:sz w:val="20"/>
          <w:szCs w:val="20"/>
        </w:rPr>
        <w:t xml:space="preserve">Evidence quality (SC-04) and source diversity (SC-03) both require that sources are not treated as equal. A proposed four-tier scheme, to be calibrated in Sprint 0:</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6126"/>
        <w:gridCol w:w="1300"/>
      </w:tblGrid>
      <w:tr>
        <w:trPr>
          <w:cantSplit w:val="false"/>
          <w:tblHeader/>
        </w:trPr>
        <w:tc>
          <w:tcPr>
            <w:tcW w:type="dxa" w:w="1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Tier</w:t>
            </w:r>
          </w:p>
        </w:tc>
        <w:tc>
          <w:tcPr>
            <w:tcW w:type="dxa" w:w="61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Examples</w:t>
            </w:r>
          </w:p>
        </w:tc>
        <w:tc>
          <w:tcPr>
            <w:tcW w:type="dxa" w:w="13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Weight</w:t>
            </w:r>
          </w:p>
        </w:tc>
      </w:tr>
      <w:tr>
        <w:trPr>
          <w:cantSplit w:val="false"/>
          <w:tblHeader w:val="false"/>
        </w:trPr>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 — Authoritative</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Legal instruments, regulator publications, official statistics, standards releases, procurement notices, peer-reviewed research</w:t>
            </w:r>
          </w:p>
        </w:tc>
        <w:tc>
          <w:tcPr>
            <w:tcW w:type="dxa" w:w="1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Highest</w:t>
            </w:r>
          </w:p>
        </w:tc>
      </w:tr>
      <w:tr>
        <w:trPr>
          <w:cantSplit w:val="false"/>
          <w:tblHeader w:val="false"/>
        </w:trPr>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 — Independent reporting</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Established trade and general press with editorial independence</w:t>
            </w:r>
          </w:p>
        </w:tc>
        <w:tc>
          <w:tcPr>
            <w:tcW w:type="dxa" w:w="1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High</w:t>
            </w:r>
          </w:p>
        </w:tc>
      </w:tr>
      <w:tr>
        <w:trPr>
          <w:cantSplit w:val="false"/>
          <w:tblHeader w:val="false"/>
        </w:trPr>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 — Practitioner</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Developer telemetry, community discussion, conference programmes</w:t>
            </w:r>
          </w:p>
        </w:tc>
        <w:tc>
          <w:tcPr>
            <w:tcW w:type="dxa" w:w="1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Medium</w:t>
            </w:r>
          </w:p>
        </w:tc>
      </w:tr>
      <w:tr>
        <w:trPr>
          <w:cantSplit w:val="false"/>
          <w:tblHeader w:val="false"/>
        </w:trPr>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 — Interested party</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Vendor press releases, sponsored content, marketing blogs</w:t>
            </w:r>
          </w:p>
        </w:tc>
        <w:tc>
          <w:tcPr>
            <w:tcW w:type="dxa" w:w="1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Low; capped contribution</w:t>
            </w:r>
          </w:p>
        </w:tc>
      </w:tr>
    </w:tbl>
    <w:p>
      <w:pPr>
        <w:spacing w:after="200" w:before="60"/>
      </w:pPr>
      <w:r>
        <w:rPr>
          <w:i/>
          <w:iCs/>
          <w:color w:val="595959"/>
          <w:sz w:val="16"/>
          <w:szCs w:val="16"/>
        </w:rPr>
        <w:t xml:space="preserve">Table 22 — Proposed source tiers.</w:t>
      </w:r>
    </w:p>
    <w:p>
      <w:pPr>
        <w:spacing w:after="120" w:line="276"/>
      </w:pPr>
      <w:r>
        <w:rPr>
          <w:i w:val="false"/>
          <w:iCs w:val="false"/>
          <w:sz w:val="20"/>
          <w:szCs w:val="20"/>
        </w:rPr>
        <w:t xml:space="preserve">Two rules follow. First, source diversity should be measured across publishers and tiers — a topic covered by twenty outlets all syndicating one vendor press release is one source, not twenty. Shannon entropy over the publisher distribution, with tier-4 sources contributing at a discount, expresses this cleanly. Second, no topic should reach high attractiveness on tier-4 evidence alone; this is precisely the "vendor-specific" case that SC-09 says must score low.</w:t>
      </w:r>
    </w:p>
    <w:p>
      <w:pPr>
        <w:pStyle w:val="Heading2"/>
        <w:spacing w:after="120" w:before="280"/>
      </w:pPr>
      <w:r>
        <w:rPr>
          <w:b/>
          <w:bCs/>
          <w:color w:val="FF7900"/>
          <w:sz w:val="26"/>
          <w:szCs w:val="26"/>
        </w:rPr>
        <w:t xml:space="preserve">4.4 LLM design</w:t>
      </w:r>
    </w:p>
    <w:p>
      <w:pPr>
        <w:spacing w:after="120" w:line="276"/>
      </w:pPr>
      <w:r>
        <w:rPr>
          <w:i w:val="false"/>
          <w:iCs w:val="false"/>
          <w:sz w:val="20"/>
          <w:szCs w:val="20"/>
        </w:rPr>
        <w:t xml:space="preserve">The brief proposes building prompts with data context for prolonged LLM brainstorming. We agree with the direction and propose tightening it in one respect: the model should brainstorm within retrieved evidence rather than from its own parameters. What follows is how to keep the creative benefit while making the output defensible.</w:t>
      </w:r>
    </w:p>
    <w:p>
      <w:pPr>
        <w:pStyle w:val="Heading3"/>
        <w:spacing w:after="100" w:before="220"/>
      </w:pPr>
      <w:r>
        <w:rPr>
          <w:b/>
          <w:bCs/>
          <w:color w:val="1A1A1A"/>
          <w:sz w:val="22"/>
          <w:szCs w:val="22"/>
        </w:rPr>
        <w:t xml:space="preserve">4.4.1 Where the model is used, and where it is not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600"/>
        <w:gridCol w:w="4826"/>
      </w:tblGrid>
      <w:tr>
        <w:trPr>
          <w:cantSplit w:val="false"/>
          <w:tblHeader/>
        </w:trPr>
        <w:tc>
          <w:tcPr>
            <w:tcW w:type="dxa" w:w="2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Task</w:t>
            </w:r>
          </w:p>
        </w:tc>
        <w:tc>
          <w:tcPr>
            <w:tcW w:type="dxa" w:w="1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Model?</w:t>
            </w:r>
          </w:p>
        </w:tc>
        <w:tc>
          <w:tcPr>
            <w:tcW w:type="dxa" w:w="48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Rationale</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Relevance gating of raw items</w:t>
            </w:r>
          </w:p>
        </w:tc>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Small model or classifier</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High volume, low judgement; use the cheapest thing that works</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type classification</w:t>
            </w:r>
          </w:p>
        </w:tc>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Small model, few-shot</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Six well-defined classes; measurable accuracy</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Theme extraction and clustering</w:t>
            </w:r>
          </w:p>
        </w:tc>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Embeddings, not generation</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Clustering is deterministic and reproducible; generation here would invent structure</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Candidate opportunity space synthesis</w:t>
            </w:r>
          </w:p>
        </w:tc>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Yes — the core creative step</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Recombining a technology, a use case and a vertical into a specific statement is exactly what these models are good at</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Specificity and quality critique</w:t>
            </w:r>
          </w:p>
        </w:tc>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Yes — separate critic pass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second pass judging the first catches generic output far better than a single-pass instruction to be specific</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counting, diversity, recency, momentum</w:t>
            </w:r>
          </w:p>
        </w:tc>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 arithmetic</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Deterministic, reproducible, auditable. A model asked to count will occasionally be wrong and always be unverifiable</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Strategic relevance</w:t>
            </w:r>
          </w:p>
        </w:tc>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Yes — rubric-scored with anchors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Judgement against a written rubric, with worked examples to anchor the scale</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join</w:t>
            </w:r>
          </w:p>
        </w:tc>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 structured lookup</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Matching against the internal asset catalogue is a join, not an inference</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"Why hot" and "why this matters" text</w:t>
            </w:r>
          </w:p>
        </w:tc>
        <w:tc>
          <w:tcPr>
            <w:tcW w:type="dxa" w:w="1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Yes, constrained to cited signals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Writing is the job; every sentence must carry a citation</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Role-specific next action</w:t>
            </w:r>
          </w:p>
        </w:tc>
        <w:tc>
          <w:tcPr>
            <w:tcW w:type="dxa" w:w="1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Yes</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Short, templated generation with a role-specific system prompt</w:t>
            </w:r>
          </w:p>
        </w:tc>
      </w:tr>
    </w:tbl>
    <w:p>
      <w:pPr>
        <w:spacing w:after="200" w:before="60"/>
      </w:pPr>
      <w:r>
        <w:rPr>
          <w:i/>
          <w:iCs/>
          <w:color w:val="595959"/>
          <w:sz w:val="16"/>
          <w:szCs w:val="16"/>
        </w:rPr>
        <w:t xml:space="preserve">Table 23 — Division of labour between deterministic code and model inference.</w:t>
      </w:r>
    </w:p>
    <w:p>
      <w:pPr>
        <w:pStyle w:val="Heading3"/>
        <w:spacing w:after="100" w:before="220"/>
      </w:pPr>
      <w:r>
        <w:rPr>
          <w:b/>
          <w:bCs/>
          <w:color w:val="1A1A1A"/>
          <w:sz w:val="22"/>
          <w:szCs w:val="22"/>
        </w:rPr>
        <w:t xml:space="preserve">4.4.2 The synthesis prompt</w:t>
      </w:r>
    </w:p>
    <w:p>
      <w:pPr>
        <w:spacing w:after="120" w:line="276"/>
      </w:pPr>
      <w:r>
        <w:rPr>
          <w:i w:val="false"/>
          <w:iCs w:val="false"/>
          <w:sz w:val="20"/>
          <w:szCs w:val="20"/>
        </w:rPr>
        <w:t xml:space="preserve">The core prompt takes a theme cluster and produces candidate opportunity spaces. Its structure, in outline:</w:t>
      </w:r>
    </w:p>
    <w:p>
      <w:pPr>
        <w:pStyle w:val="ListParagraph"/>
        <w:numPr>
          <w:ilvl w:val="0"/>
          <w:numId w:val="2"/>
        </w:numPr>
        <w:spacing w:after="60" w:line="276"/>
      </w:pPr>
      <w:r>
        <w:rPr>
          <w:b/>
          <w:bCs/>
          <w:i w:val="false"/>
          <w:iCs w:val="false"/>
          <w:sz w:val="20"/>
          <w:szCs w:val="20"/>
        </w:rPr>
        <w:t xml:space="preserve">System context: </w:t>
      </w:r>
      <w:r>
        <w:rPr>
          <w:sz w:val="20"/>
          <w:szCs w:val="20"/>
        </w:rPr>
        <w:t xml:space="preserve">who Orange Business is, the three Trust the future ambitions, the six business domains, the fifteen verticals, the nine target personas, the four value propositions, and the explicit instruction that a topic that maps to none of them is to be discarded.</w:t>
      </w:r>
    </w:p>
    <w:p>
      <w:pPr>
        <w:pStyle w:val="ListParagraph"/>
        <w:numPr>
          <w:ilvl w:val="0"/>
          <w:numId w:val="2"/>
        </w:numPr>
        <w:spacing w:after="60" w:line="276"/>
      </w:pPr>
      <w:r>
        <w:rPr>
          <w:b/>
          <w:bCs/>
          <w:i w:val="false"/>
          <w:iCs w:val="false"/>
          <w:sz w:val="20"/>
          <w:szCs w:val="20"/>
        </w:rPr>
        <w:t xml:space="preserve">Controlled vocabularies: </w:t>
      </w:r>
      <w:r>
        <w:rPr>
          <w:sz w:val="20"/>
          <w:szCs w:val="20"/>
        </w:rPr>
        <w:t xml:space="preserve">the enumerated verticals, use cases and technologies, with definitions. The model may only emit values from these lists; anything else fails validation and is retried once, then dropped.</w:t>
      </w:r>
    </w:p>
    <w:p>
      <w:pPr>
        <w:pStyle w:val="ListParagraph"/>
        <w:numPr>
          <w:ilvl w:val="0"/>
          <w:numId w:val="2"/>
        </w:numPr>
        <w:spacing w:after="60" w:line="276"/>
      </w:pPr>
      <w:r>
        <w:rPr>
          <w:b/>
          <w:bCs/>
          <w:i w:val="false"/>
          <w:iCs w:val="false"/>
          <w:sz w:val="20"/>
          <w:szCs w:val="20"/>
        </w:rPr>
        <w:t xml:space="preserve">Evidence block: </w:t>
      </w:r>
      <w:r>
        <w:rPr>
          <w:sz w:val="20"/>
          <w:szCs w:val="20"/>
        </w:rPr>
        <w:t xml:space="preserve">the clustered signals, each with an identifier, publisher, date, tier, geography and text span. This is the only factual material the model is permitted to use.</w:t>
      </w:r>
    </w:p>
    <w:p>
      <w:pPr>
        <w:pStyle w:val="ListParagraph"/>
        <w:numPr>
          <w:ilvl w:val="0"/>
          <w:numId w:val="2"/>
        </w:numPr>
        <w:spacing w:after="60" w:line="276"/>
      </w:pPr>
      <w:r>
        <w:rPr>
          <w:b/>
          <w:bCs/>
          <w:i w:val="false"/>
          <w:iCs w:val="false"/>
          <w:sz w:val="20"/>
          <w:szCs w:val="20"/>
        </w:rPr>
        <w:t xml:space="preserve">Negative examples: </w:t>
      </w:r>
      <w:r>
        <w:rPr>
          <w:sz w:val="20"/>
          <w:szCs w:val="20"/>
        </w:rPr>
        <w:t xml:space="preserve">"AI", "Cloud", "Cybersecurity", "digital transformation in retail" — with an explanation of why each fails the specificity test.</w:t>
      </w:r>
    </w:p>
    <w:p>
      <w:pPr>
        <w:pStyle w:val="ListParagraph"/>
        <w:numPr>
          <w:ilvl w:val="0"/>
          <w:numId w:val="2"/>
        </w:numPr>
        <w:spacing w:after="60" w:line="276"/>
      </w:pPr>
      <w:r>
        <w:rPr>
          <w:b/>
          <w:bCs/>
          <w:i w:val="false"/>
          <w:iCs w:val="false"/>
          <w:sz w:val="20"/>
          <w:szCs w:val="20"/>
        </w:rPr>
        <w:t xml:space="preserve">Positive examples: </w:t>
      </w:r>
      <w:r>
        <w:rPr>
          <w:sz w:val="20"/>
          <w:szCs w:val="20"/>
        </w:rPr>
        <w:t xml:space="preserve">the six worked examples from the briefing, which are unusually good few-shot anchors because they were written by the client and encode the intended granularity precisely.</w:t>
      </w:r>
    </w:p>
    <w:p>
      <w:pPr>
        <w:pStyle w:val="ListParagraph"/>
        <w:numPr>
          <w:ilvl w:val="0"/>
          <w:numId w:val="2"/>
        </w:numPr>
        <w:spacing w:after="60" w:line="276"/>
      </w:pPr>
      <w:r>
        <w:rPr>
          <w:b/>
          <w:bCs/>
          <w:i w:val="false"/>
          <w:iCs w:val="false"/>
          <w:sz w:val="20"/>
          <w:szCs w:val="20"/>
        </w:rPr>
        <w:t xml:space="preserve">Output contract: </w:t>
      </w:r>
      <w:r>
        <w:rPr>
          <w:sz w:val="20"/>
          <w:szCs w:val="20"/>
        </w:rPr>
        <w:t xml:space="preserve">strict JSON conforming to the schema in Appendix B, with a mandatory non-empty array of signal identifiers per candidate.</w:t>
      </w:r>
    </w:p>
    <w:p>
      <w:pPr>
        <w:pStyle w:val="Heading3"/>
        <w:spacing w:after="100" w:before="220"/>
      </w:pPr>
      <w:r>
        <w:rPr>
          <w:b/>
          <w:bCs/>
          <w:color w:val="1A1A1A"/>
          <w:sz w:val="22"/>
          <w:szCs w:val="22"/>
        </w:rPr>
        <w:t xml:space="preserve">4.4.3 Prolonged brainstorming, made systematic</w:t>
      </w:r>
    </w:p>
    <w:p>
      <w:pPr>
        <w:spacing w:after="120" w:line="276"/>
      </w:pPr>
      <w:r>
        <w:rPr>
          <w:i w:val="false"/>
          <w:iCs w:val="false"/>
          <w:sz w:val="20"/>
          <w:szCs w:val="20"/>
        </w:rPr>
        <w:t xml:space="preserve">"Prolonged brainstorming" is the right instinct, but an open-ended loop tends to produce volume rather than coverage: the model elaborates around whatever it produced first. Three mechanisms turn it into systematic exploration.</w:t>
      </w:r>
    </w:p>
    <w:p>
      <w:pPr>
        <w:pStyle w:val="ListParagraph"/>
        <w:numPr>
          <w:ilvl w:val="0"/>
          <w:numId w:val="5"/>
        </w:numPr>
        <w:spacing w:after="60" w:line="276"/>
      </w:pPr>
      <w:r>
        <w:rPr>
          <w:b/>
          <w:bCs/>
          <w:i w:val="false"/>
          <w:iCs w:val="false"/>
          <w:sz w:val="20"/>
          <w:szCs w:val="20"/>
        </w:rPr>
        <w:t xml:space="preserve">Coverage-driven prompting. </w:t>
      </w:r>
      <w:r>
        <w:rPr>
          <w:sz w:val="20"/>
          <w:szCs w:val="20"/>
        </w:rPr>
        <w:t xml:space="preserve">The taxonomy defines a grid — fifteen verticals × roughly fifty use cases × roughly thirty technologies. Most cells are empty and should stay empty. But the pipeline knows which cells have evidence and no candidate yet, and can target generation at exactly those cells. This converts brainstorming from "produce more ideas" into "cover the evidenced grid", which terminates and is measurable.</w:t>
      </w:r>
    </w:p>
    <w:p>
      <w:pPr>
        <w:pStyle w:val="ListParagraph"/>
        <w:numPr>
          <w:ilvl w:val="0"/>
          <w:numId w:val="5"/>
        </w:numPr>
        <w:spacing w:after="60" w:line="276"/>
      </w:pPr>
      <w:r>
        <w:rPr>
          <w:b/>
          <w:bCs/>
          <w:i w:val="false"/>
          <w:iCs w:val="false"/>
          <w:sz w:val="20"/>
          <w:szCs w:val="20"/>
        </w:rPr>
        <w:t xml:space="preserve">Adversarial critique. </w:t>
      </w:r>
      <w:r>
        <w:rPr>
          <w:sz w:val="20"/>
          <w:szCs w:val="20"/>
        </w:rPr>
        <w:t xml:space="preserve">A generator pass followed by a critic pass with a different system prompt: is this specific enough to put in front of a CIO, is every claim supported by a cited signal, is it distinguishable from three neighbouring candidates, would a salesperson know what to say. Candidates that fail are either revised once or dropped. In practice the critic pass improves output quality more than any amount of prompt refinement on the generator.</w:t>
      </w:r>
    </w:p>
    <w:p>
      <w:pPr>
        <w:pStyle w:val="ListParagraph"/>
        <w:numPr>
          <w:ilvl w:val="0"/>
          <w:numId w:val="5"/>
        </w:numPr>
        <w:spacing w:after="60" w:line="276"/>
      </w:pPr>
      <w:r>
        <w:rPr>
          <w:b/>
          <w:bCs/>
          <w:i w:val="false"/>
          <w:iCs w:val="false"/>
          <w:sz w:val="20"/>
          <w:szCs w:val="20"/>
        </w:rPr>
        <w:t xml:space="preserve">Diversity by construction. </w:t>
      </w:r>
      <w:r>
        <w:rPr>
          <w:sz w:val="20"/>
          <w:szCs w:val="20"/>
        </w:rPr>
        <w:t xml:space="preserve">Generate at higher temperature, over-produce deliberately, then deduplicate by embedding similarity and taxonomy triple. It is cheaper to generate forty candidates and keep eight than to coax eight good ones out of a single careful pass.</w:t>
      </w:r>
    </w:p>
    <w:p>
      <w:pPr>
        <w:pStyle w:val="Heading3"/>
        <w:spacing w:after="100" w:before="220"/>
      </w:pPr>
      <w:r>
        <w:rPr>
          <w:b/>
          <w:bCs/>
          <w:color w:val="1A1A1A"/>
          <w:sz w:val="22"/>
          <w:szCs w:val="22"/>
        </w:rPr>
        <w:t xml:space="preserve">4.4.4 Hallucination control</w:t>
      </w:r>
    </w:p>
    <w:p>
      <w:pPr>
        <w:spacing w:after="120" w:line="276"/>
      </w:pPr>
      <w:r>
        <w:rPr>
          <w:i w:val="false"/>
          <w:iCs w:val="false"/>
          <w:sz w:val="20"/>
          <w:szCs w:val="20"/>
        </w:rPr>
        <w:t xml:space="preserve">Because the output will be shown to customers, the tolerance for fabricated facts is effectively zero. Four defences, in order of effectiveness:</w:t>
      </w:r>
    </w:p>
    <w:p>
      <w:pPr>
        <w:pStyle w:val="ListParagraph"/>
        <w:numPr>
          <w:ilvl w:val="0"/>
          <w:numId w:val="2"/>
        </w:numPr>
        <w:spacing w:after="60" w:line="276"/>
      </w:pPr>
      <w:r>
        <w:rPr>
          <w:b/>
          <w:bCs/>
          <w:i w:val="false"/>
          <w:iCs w:val="false"/>
          <w:sz w:val="20"/>
          <w:szCs w:val="20"/>
        </w:rPr>
        <w:t xml:space="preserve">Evidence binding. </w:t>
      </w:r>
      <w:r>
        <w:rPr>
          <w:sz w:val="20"/>
          <w:szCs w:val="20"/>
        </w:rPr>
        <w:t xml:space="preserve">Every generated claim references signal identifiers. A post-generation validator checks that each identifier exists, that the cited signal is in the cluster that produced the candidate, and that no claim exists without a citation. Uncited claims are stripped, not rewritten.</w:t>
      </w:r>
    </w:p>
    <w:p>
      <w:pPr>
        <w:pStyle w:val="ListParagraph"/>
        <w:numPr>
          <w:ilvl w:val="0"/>
          <w:numId w:val="2"/>
        </w:numPr>
        <w:spacing w:after="60" w:line="276"/>
      </w:pPr>
      <w:r>
        <w:rPr>
          <w:b/>
          <w:bCs/>
          <w:i w:val="false"/>
          <w:iCs w:val="false"/>
          <w:sz w:val="20"/>
          <w:szCs w:val="20"/>
        </w:rPr>
        <w:t xml:space="preserve">Closed-vocabulary output. </w:t>
      </w:r>
      <w:r>
        <w:rPr>
          <w:sz w:val="20"/>
          <w:szCs w:val="20"/>
        </w:rPr>
        <w:t xml:space="preserve">Taxonomy values are validated against the enumerations, which removes an entire class of plausible-sounding invention.</w:t>
      </w:r>
    </w:p>
    <w:p>
      <w:pPr>
        <w:pStyle w:val="ListParagraph"/>
        <w:numPr>
          <w:ilvl w:val="0"/>
          <w:numId w:val="2"/>
        </w:numPr>
        <w:spacing w:after="60" w:line="276"/>
      </w:pPr>
      <w:r>
        <w:rPr>
          <w:b/>
          <w:bCs/>
          <w:i w:val="false"/>
          <w:iCs w:val="false"/>
          <w:sz w:val="20"/>
          <w:szCs w:val="20"/>
        </w:rPr>
        <w:t xml:space="preserve">No numbers from the model. </w:t>
      </w:r>
      <w:r>
        <w:rPr>
          <w:sz w:val="20"/>
          <w:szCs w:val="20"/>
        </w:rPr>
        <w:t xml:space="preserve">Market sizes, growth rates and percentages are never generated. They are looked up, attributed and dated, or they are absent. This is the rule most worth enforcing rigidly.</w:t>
      </w:r>
    </w:p>
    <w:p>
      <w:pPr>
        <w:pStyle w:val="ListParagraph"/>
        <w:numPr>
          <w:ilvl w:val="0"/>
          <w:numId w:val="2"/>
        </w:numPr>
        <w:spacing w:after="60" w:line="276"/>
      </w:pPr>
      <w:r>
        <w:rPr>
          <w:b/>
          <w:bCs/>
          <w:i w:val="false"/>
          <w:iCs w:val="false"/>
          <w:sz w:val="20"/>
          <w:szCs w:val="20"/>
        </w:rPr>
        <w:t xml:space="preserve">Entailment check on key claims. </w:t>
      </w:r>
      <w:r>
        <w:rPr>
          <w:sz w:val="20"/>
          <w:szCs w:val="20"/>
        </w:rPr>
        <w:t xml:space="preserve">For the "why hot" sentence, a cheap second-model pass verifies that the claim is entailed by the cited span. Cost is low because the text is short.</w:t>
      </w:r>
    </w:p>
    <w:p>
      <w:pPr>
        <w:pStyle w:val="Heading3"/>
        <w:spacing w:after="100" w:before="220"/>
      </w:pPr>
      <w:r>
        <w:rPr>
          <w:b/>
          <w:bCs/>
          <w:color w:val="1A1A1A"/>
          <w:sz w:val="22"/>
          <w:szCs w:val="22"/>
        </w:rPr>
        <w:t xml:space="preserve">4.4.5 Identity, deduplication and refresh</w:t>
      </w:r>
    </w:p>
    <w:p>
      <w:pPr>
        <w:spacing w:after="120" w:line="276"/>
      </w:pPr>
      <w:r>
        <w:rPr>
          <w:i w:val="false"/>
          <w:iCs w:val="false"/>
          <w:sz w:val="20"/>
          <w:szCs w:val="20"/>
        </w:rPr>
        <w:t xml:space="preserve">The requirement that a topic recurring in a later refresh is updated rather than recreated (DR-03) is what makes momentum measurable, and it is the requirement most often missed in a first build.</w:t>
      </w:r>
    </w:p>
    <w:p>
      <w:pPr>
        <w:pStyle w:val="ListParagraph"/>
        <w:numPr>
          <w:ilvl w:val="0"/>
          <w:numId w:val="2"/>
        </w:numPr>
        <w:spacing w:after="60" w:line="276"/>
      </w:pPr>
      <w:r>
        <w:rPr>
          <w:sz w:val="20"/>
          <w:szCs w:val="20"/>
        </w:rPr>
        <w:t xml:space="preserve">Canonical identity is the taxonomy triple. Two candidates with the same triple are the same topic.</w:t>
      </w:r>
    </w:p>
    <w:p>
      <w:pPr>
        <w:pStyle w:val="ListParagraph"/>
        <w:numPr>
          <w:ilvl w:val="0"/>
          <w:numId w:val="2"/>
        </w:numPr>
        <w:spacing w:after="60" w:line="276"/>
      </w:pPr>
      <w:r>
        <w:rPr>
          <w:sz w:val="20"/>
          <w:szCs w:val="20"/>
        </w:rPr>
        <w:t xml:space="preserve">Near-duplicates with different triples are detected by embedding similarity on the opportunity statement, above a threshold tuned on a labelled sample, and merged under human review the first time each merge rule fires.</w:t>
      </w:r>
    </w:p>
    <w:p>
      <w:pPr>
        <w:pStyle w:val="ListParagraph"/>
        <w:numPr>
          <w:ilvl w:val="0"/>
          <w:numId w:val="2"/>
        </w:numPr>
        <w:spacing w:after="60" w:line="276"/>
      </w:pPr>
      <w:r>
        <w:rPr>
          <w:sz w:val="20"/>
          <w:szCs w:val="20"/>
        </w:rPr>
        <w:t xml:space="preserve">On refresh, new signals attach to the existing topic. The score is recomputed; the previous score is retained in history. Momentum is then simply the trajectory of signal accretion, which is honest and explainable.</w:t>
      </w:r>
    </w:p>
    <w:p>
      <w:pPr>
        <w:pStyle w:val="ListParagraph"/>
        <w:numPr>
          <w:ilvl w:val="0"/>
          <w:numId w:val="2"/>
        </w:numPr>
        <w:spacing w:after="60" w:line="276"/>
      </w:pPr>
      <w:r>
        <w:rPr>
          <w:sz w:val="20"/>
          <w:szCs w:val="20"/>
        </w:rPr>
        <w:t xml:space="preserve">A topic whose signal flow stops does not vanish. It decays through the lifecycle states of Section 4.8, which is how the briefing's "topics enter, rise, and fade" behaviour actually gets implemented.</w:t>
      </w:r>
    </w:p>
    <w:p>
      <w:pPr>
        <w:pStyle w:val="Heading3"/>
        <w:spacing w:after="100" w:before="220"/>
      </w:pPr>
      <w:r>
        <w:rPr>
          <w:b/>
          <w:bCs/>
          <w:color w:val="1A1A1A"/>
          <w:sz w:val="22"/>
          <w:szCs w:val="22"/>
        </w:rPr>
        <w:t xml:space="preserve">4.4.6 Model choice</w:t>
      </w:r>
    </w:p>
    <w:p>
      <w:pPr>
        <w:spacing w:after="120" w:line="276"/>
      </w:pPr>
      <w:r>
        <w:rPr>
          <w:i w:val="false"/>
          <w:iCs w:val="false"/>
          <w:sz w:val="20"/>
          <w:szCs w:val="20"/>
        </w:rPr>
        <w:t xml:space="preserve">The pipeline should be model-agnostic behind a thin abstraction, because the economics change every few months. Practically: a small, cheap model for the high-volume gating and classification stages; a strong model for synthesis and critique, where quality dominates cost because the volume is low. Given that Orange sells trusted AI on sovereign infrastructure — Live Intelligence, Live Intelligence Studio, Cloud Avenue SecNum — a version of this system running entirely on Orange's own stack is both technically reasonable and rhetorically useful. It is worth proving early that the design does not depend on any single provider (NFR-05, NFR-10).</w:t>
      </w:r>
    </w:p>
    <w:p>
      <w:pPr>
        <w:pStyle w:val="Heading2"/>
        <w:spacing w:after="120" w:before="280"/>
      </w:pPr>
      <w:r>
        <w:rPr>
          <w:b/>
          <w:bCs/>
          <w:color w:val="FF7900"/>
          <w:sz w:val="26"/>
          <w:szCs w:val="26"/>
        </w:rPr>
        <w:t xml:space="preserve">4.5 Linking opportunity spaces to the Orange business</w:t>
      </w:r>
    </w:p>
    <w:p>
      <w:pPr>
        <w:spacing w:after="120" w:line="276"/>
      </w:pPr>
      <w:r>
        <w:rPr>
          <w:i w:val="false"/>
          <w:iCs w:val="false"/>
          <w:sz w:val="20"/>
          <w:szCs w:val="20"/>
        </w:rPr>
        <w:t xml:space="preserve">The briefing asks two questions of every topic — can we play, and can we win — but leaves the mechanism open. This join is the product. Without it the radar is a competent trend feed, and trend feeds already exist. With it, the radar answers a question nobody else can answer for Orange.</w:t>
      </w:r>
    </w:p>
    <w:p>
      <w:pPr>
        <w:spacing w:after="120" w:line="276"/>
      </w:pPr>
      <w:r>
        <w:rPr>
          <w:i w:val="false"/>
          <w:iCs w:val="false"/>
          <w:sz w:val="20"/>
          <w:szCs w:val="20"/>
        </w:rPr>
        <w:t xml:space="preserve">The join therefore has to be an explicit, queryable structure rather than a paragraph of prose written by a model. A sentence asserting that Orange has relevant assets is unverifiable; a link to a named offer, a named reference and a named partner tier is inspectable, and it can be wrong in a way that someone can correct.</w:t>
      </w:r>
    </w:p>
    <w:p>
      <w:pPr>
        <w:pStyle w:val="Heading3"/>
        <w:spacing w:after="100" w:before="220"/>
      </w:pPr>
      <w:r>
        <w:rPr>
          <w:b/>
          <w:bCs/>
          <w:color w:val="1A1A1A"/>
          <w:sz w:val="22"/>
          <w:szCs w:val="22"/>
        </w:rPr>
        <w:t xml:space="preserve">4.5.1 The Orange Business Graph</w:t>
      </w:r>
    </w:p>
    <w:p>
      <w:pPr>
        <w:spacing w:after="120" w:line="276"/>
      </w:pPr>
      <w:r>
        <w:rPr>
          <w:i w:val="false"/>
          <w:iCs w:val="false"/>
          <w:sz w:val="20"/>
          <w:szCs w:val="20"/>
        </w:rPr>
        <w:t xml:space="preserve">We propose a curated graph of what Orange sells, has sold, and can call on. It is small — thousands of nodes, not millions — so the engineering is unremarkable and the value lies entirely in the schema and the curation.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00"/>
        <w:gridCol w:w="4400"/>
        <w:gridCol w:w="2926"/>
      </w:tblGrid>
      <w:tr>
        <w:trPr>
          <w:cantSplit w:val="false"/>
          <w:tblHeader/>
        </w:trPr>
        <w:tc>
          <w:tcPr>
            <w:tcW w:type="dxa" w:w="17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Node type</w:t>
            </w:r>
          </w:p>
        </w:tc>
        <w:tc>
          <w:tcPr>
            <w:tcW w:type="dxa" w:w="44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Examples</w:t>
            </w:r>
          </w:p>
        </w:tc>
        <w:tc>
          <w:tcPr>
            <w:tcW w:type="dxa" w:w="29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Source</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Offer / solution</w:t>
            </w:r>
          </w:p>
        </w:tc>
        <w:tc>
          <w:tcPr>
            <w:tcW w:type="dxa" w:w="4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Evolution Platform, Live Intelligence, Live Intelligence Studio, Live Objects, Flexible SD-WAN, Cloud Avenue SecNum, Orange Drone Guardian, Quantum Defender, Contact Center Access, Business Talk</w:t>
            </w:r>
          </w:p>
        </w:tc>
        <w:tc>
          <w:tcPr>
            <w:tcW w:type="dxa" w:w="2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Public offer catalogue; internal catalogue in phase 2</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Value proposition / domain</w:t>
            </w:r>
          </w:p>
        </w:tc>
        <w:tc>
          <w:tcPr>
            <w:tcW w:type="dxa" w:w="4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 Experience, Employee Experience, Operational Experience, Digital Infrastructure; the six briefing domains</w:t>
            </w:r>
          </w:p>
        </w:tc>
        <w:tc>
          <w:tcPr>
            <w:tcW w:type="dxa" w:w="2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Corporate presentation, briefing deck</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Reference case</w:t>
            </w:r>
          </w:p>
        </w:tc>
        <w:tc>
          <w:tcPr>
            <w:tcW w:type="dxa" w:w="4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Saint-Gobain Glass, Toyota, Boulanger, MicroPort CardioFlow, Banqsoft, Stø, Grand Paris Sud</w:t>
            </w:r>
          </w:p>
        </w:tc>
        <w:tc>
          <w:tcPr>
            <w:tcW w:type="dxa" w:w="2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Published customer stories</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Partner</w:t>
            </w:r>
          </w:p>
        </w:tc>
        <w:tc>
          <w:tcPr>
            <w:tcW w:type="dxa" w:w="4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Cisco, Microsoft, AWS, Google Cloud, Palo Alto Networks, Fortinet, NVIDIA, Genesys, ServiceNow, HPE, Dell, Zscaler</w:t>
            </w:r>
          </w:p>
        </w:tc>
        <w:tc>
          <w:tcPr>
            <w:tcW w:type="dxa" w:w="2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Partner pages, with tier as an edge property</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Certification</w:t>
            </w:r>
          </w:p>
        </w:tc>
        <w:tc>
          <w:tcPr>
            <w:tcW w:type="dxa" w:w="4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ISO 27001, SOC 2 Type II, SecNumCloud, HDS, TISAX, CISPE</w:t>
            </w:r>
          </w:p>
        </w:tc>
        <w:tc>
          <w:tcPr>
            <w:tcW w:type="dxa" w:w="2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Certifications page</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Analyst position</w:t>
            </w:r>
          </w:p>
        </w:tc>
        <w:tc>
          <w:tcPr>
            <w:tcW w:type="dxa" w:w="4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Gartner MQ private mobile networks 2026, Global WAN Services leader, GlobalData 2025</w:t>
            </w:r>
          </w:p>
        </w:tc>
        <w:tc>
          <w:tcPr>
            <w:tcW w:type="dxa" w:w="2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Analyst page</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Capability pool</w:t>
            </w:r>
          </w:p>
        </w:tc>
        <w:tc>
          <w:tcPr>
            <w:tcW w:type="dxa" w:w="4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7,000+ AI/Data/Cloud experts, 3,100+ cyber, 400+ IoT, 250+ defense, 1,000+ health</w:t>
            </w:r>
          </w:p>
        </w:tc>
        <w:tc>
          <w:tcPr>
            <w:tcW w:type="dxa" w:w="2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Corporate presentation</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Research asset</w:t>
            </w:r>
          </w:p>
        </w:tc>
        <w:tc>
          <w:tcPr>
            <w:tcW w:type="dxa" w:w="4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Patents, CORDIS project participation, Orange Fab and Ventures portfolio companies</w:t>
            </w:r>
          </w:p>
        </w:tc>
        <w:tc>
          <w:tcPr>
            <w:tcW w:type="dxa" w:w="2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Patent databases, CORDIS, public announcements</w:t>
            </w:r>
          </w:p>
        </w:tc>
      </w:tr>
      <w:tr>
        <w:trPr>
          <w:cantSplit w:val="false"/>
          <w:tblHeader w:val="false"/>
        </w:trPr>
        <w:tc>
          <w:tcPr>
            <w:tcW w:type="dxa" w:w="17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Customer account</w:t>
            </w:r>
          </w:p>
        </w:tc>
        <w:tc>
          <w:tcPr>
            <w:tcW w:type="dxa" w:w="4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Named accounts with vertical and geography</w:t>
            </w:r>
          </w:p>
        </w:tc>
        <w:tc>
          <w:tcPr>
            <w:tcW w:type="dxa" w:w="2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CRM, phase 2 only</w:t>
            </w:r>
          </w:p>
        </w:tc>
      </w:tr>
      <w:tr>
        <w:trPr>
          <w:cantSplit w:val="false"/>
          <w:tblHeader w:val="false"/>
        </w:trPr>
        <w:tc>
          <w:tcPr>
            <w:tcW w:type="dxa" w:w="17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Taxonomy node</w:t>
            </w:r>
          </w:p>
        </w:tc>
        <w:tc>
          <w:tcPr>
            <w:tcW w:type="dxa" w:w="4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Vertical, use case, technology, persona</w:t>
            </w:r>
          </w:p>
        </w:tc>
        <w:tc>
          <w:tcPr>
            <w:tcW w:type="dxa" w:w="2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Controlled vocabularies, Section 3.3</w:t>
            </w:r>
          </w:p>
        </w:tc>
      </w:tr>
    </w:tbl>
    <w:p>
      <w:pPr>
        <w:spacing w:after="200" w:before="60"/>
      </w:pPr>
      <w:r>
        <w:rPr>
          <w:i/>
          <w:iCs/>
          <w:color w:val="595959"/>
          <w:sz w:val="16"/>
          <w:szCs w:val="16"/>
        </w:rPr>
        <w:t xml:space="preserve">Table 24 — Node types in the Orange Business Graph.</w:t>
      </w:r>
    </w:p>
    <w:p>
      <w:pPr>
        <w:spacing w:after="120" w:line="276"/>
      </w:pPr>
      <w:r>
        <w:rPr>
          <w:i w:val="false"/>
          <w:iCs w:val="false"/>
          <w:sz w:val="20"/>
          <w:szCs w:val="20"/>
        </w:rPr>
        <w:t xml:space="preserve">Edges carry the semantics that matter: an offer ADDRESSES a use case; a reference DEMONSTRATES an offer IN a vertical FOR a persona; a partner PROVIDES a technology AT a tier; a certification is REQUIRED_BY a vertical in a geography; a capability pool STAFFS a domain; a patent COVERS a technology. Edge properties record strength, date and the source that justifies the edge, so the graph itself is auditable to the same standard as the signals (NFR-02).</w:t>
      </w:r>
    </w:p>
    <w:p>
      <w:pPr>
        <w:pStyle w:val="Heading3"/>
        <w:spacing w:after="100" w:before="220"/>
      </w:pPr>
      <w:r>
        <w:rPr>
          <w:b/>
          <w:bCs/>
          <w:color w:val="1A1A1A"/>
          <w:sz w:val="22"/>
          <w:szCs w:val="22"/>
        </w:rPr>
        <w:t xml:space="preserve">4.5.2 The crosswalk problem</w:t>
      </w:r>
    </w:p>
    <w:p>
      <w:pPr>
        <w:spacing w:after="120" w:line="276"/>
      </w:pPr>
      <w:r>
        <w:rPr>
          <w:i w:val="false"/>
          <w:iCs w:val="false"/>
          <w:sz w:val="20"/>
          <w:szCs w:val="20"/>
        </w:rPr>
        <w:t xml:space="preserve">This is the unglamorous work that determines whether the rest functions. External data does not speak Orange's language. Eurostat classifies by NACE, TED by CPV, patent offices by CPC and IPC, analysts by their own market categories — and Orange itself uses at least two vertical schemes, since the briefing deck lists fifteen verticals while the customer-story corpus uses twelve industry labels that do not map one-to-one onto them. Nothing joins until these are reconciled.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2400"/>
        <w:gridCol w:w="2100"/>
        <w:gridCol w:w="2426"/>
      </w:tblGrid>
      <w:tr>
        <w:trPr>
          <w:cantSplit w:val="false"/>
          <w:tblHeader/>
        </w:trPr>
        <w:tc>
          <w:tcPr>
            <w:tcW w:type="dxa" w:w="21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External scheme</w:t>
            </w:r>
          </w:p>
        </w:tc>
        <w:tc>
          <w:tcPr>
            <w:tcW w:type="dxa" w:w="24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Carried by</w:t>
            </w:r>
          </w:p>
        </w:tc>
        <w:tc>
          <w:tcPr>
            <w:tcW w:type="dxa" w:w="21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Maps to</w:t>
            </w:r>
          </w:p>
        </w:tc>
        <w:tc>
          <w:tcPr>
            <w:tcW w:type="dxa" w:w="24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Note</w:t>
            </w:r>
          </w:p>
        </w:tc>
      </w:tr>
      <w:tr>
        <w:trPr>
          <w:cantSplit w:val="false"/>
          <w:tblHeader w:val="false"/>
        </w:trPr>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NACE Rev. 2</w:t>
            </w:r>
          </w:p>
        </w:tc>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Eurostat SBS, ICT usage in enterprises, national statistics</w:t>
            </w:r>
          </w:p>
        </w:tc>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Verticals</w:t>
            </w:r>
          </w:p>
        </w:tc>
        <w:tc>
          <w:tcPr>
            <w:tcW w:type="dxa" w:w="2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Enables bottom-up market sizing; many-to-many at division level</w:t>
            </w:r>
          </w:p>
        </w:tc>
      </w:tr>
      <w:tr>
        <w:trPr>
          <w:cantSplit w:val="false"/>
          <w:tblHeader w:val="false"/>
        </w:trPr>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CPV</w:t>
            </w:r>
          </w:p>
        </w:tc>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TED and national procurement portals</w:t>
            </w:r>
          </w:p>
        </w:tc>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Verticals and use cases</w:t>
            </w:r>
          </w:p>
        </w:tc>
        <w:tc>
          <w:tcPr>
            <w:tcW w:type="dxa" w:w="2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bridge that turns tender notices into buying signals per opportunity space</w:t>
            </w:r>
          </w:p>
        </w:tc>
      </w:tr>
      <w:tr>
        <w:trPr>
          <w:cantSplit w:val="false"/>
          <w:tblHeader w:val="false"/>
        </w:trPr>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CPC / IPC</w:t>
            </w:r>
          </w:p>
        </w:tc>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Patent databases</w:t>
            </w:r>
          </w:p>
        </w:tc>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Technologies</w:t>
            </w:r>
          </w:p>
        </w:tc>
        <w:tc>
          <w:tcPr>
            <w:tcW w:type="dxa" w:w="2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Coarse; needs a curated subset per technology rather than a full mapping</w:t>
            </w:r>
          </w:p>
        </w:tc>
      </w:tr>
      <w:tr>
        <w:trPr>
          <w:cantSplit w:val="false"/>
          <w:tblHeader w:val="false"/>
        </w:trPr>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Analyst market categories</w:t>
            </w:r>
          </w:p>
        </w:tc>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Analyst publications</w:t>
            </w:r>
          </w:p>
        </w:tc>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Domains and technologies</w:t>
            </w:r>
          </w:p>
        </w:tc>
        <w:tc>
          <w:tcPr>
            <w:tcW w:type="dxa" w:w="2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Unstable between vendors and years; maintain loosely, refresh annually</w:t>
            </w:r>
          </w:p>
        </w:tc>
      </w:tr>
      <w:tr>
        <w:trPr>
          <w:cantSplit w:val="false"/>
          <w:tblHeader w:val="false"/>
        </w:trPr>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 customer-story industry labels (12)</w:t>
            </w:r>
          </w:p>
        </w:tc>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orange-business.com</w:t>
            </w:r>
          </w:p>
        </w:tc>
        <w:tc>
          <w:tcPr>
            <w:tcW w:type="dxa" w:w="21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Verticals (15)</w:t>
            </w:r>
          </w:p>
        </w:tc>
        <w:tc>
          <w:tcPr>
            <w:tcW w:type="dxa" w:w="2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Internal reconciliation; needed for reference density to be computable</w:t>
            </w:r>
          </w:p>
        </w:tc>
      </w:tr>
      <w:tr>
        <w:trPr>
          <w:cantSplit w:val="false"/>
          <w:tblHeader w:val="false"/>
        </w:trPr>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Offer catalogue categories</w:t>
            </w:r>
          </w:p>
        </w:tc>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orange-business.com solutions taxonomy</w:t>
            </w:r>
          </w:p>
        </w:tc>
        <w:tc>
          <w:tcPr>
            <w:tcW w:type="dxa" w:w="21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Domains, technologies, use cases</w:t>
            </w:r>
          </w:p>
        </w:tc>
        <w:tc>
          <w:tcPr>
            <w:tcW w:type="dxa" w:w="2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spine of the offer-match link</w:t>
            </w:r>
          </w:p>
        </w:tc>
      </w:tr>
    </w:tbl>
    <w:p>
      <w:pPr>
        <w:spacing w:after="200" w:before="60"/>
      </w:pPr>
      <w:r>
        <w:rPr>
          <w:i/>
          <w:iCs/>
          <w:color w:val="595959"/>
          <w:sz w:val="16"/>
          <w:szCs w:val="16"/>
        </w:rPr>
        <w:t xml:space="preserve">Table 25 — Classification crosswalks required to join external evidence to Orange's business.</w:t>
      </w:r>
    </w:p>
    <w:p>
      <w:pPr>
        <w:spacing w:after="120" w:line="276"/>
      </w:pPr>
      <w:r>
        <w:rPr>
          <w:i w:val="false"/>
          <w:iCs w:val="false"/>
          <w:sz w:val="20"/>
          <w:szCs w:val="20"/>
        </w:rPr>
        <w:t xml:space="preserve">The crosswalk should be a versioned, many-to-many mapping table with a confidence weight per row, owned by a named curator and reviewed when any source scheme changes. It is a Sprint 0 deliverable and it is worth doing carefully, because every downstream number — market size, procurement volume, reference density, patent coverage — inherits its errors.</w:t>
      </w:r>
    </w:p>
    <w:p>
      <w:pPr>
        <w:pStyle w:val="Heading3"/>
        <w:spacing w:after="100" w:before="220"/>
      </w:pPr>
      <w:r>
        <w:rPr>
          <w:b/>
          <w:bCs/>
          <w:color w:val="1A1A1A"/>
          <w:sz w:val="22"/>
          <w:szCs w:val="22"/>
        </w:rPr>
        <w:t xml:space="preserve">4.5.3 Link types and portfolio distance</w:t>
      </w:r>
    </w:p>
    <w:p>
      <w:pPr>
        <w:spacing w:after="120" w:line="276"/>
      </w:pPr>
      <w:r>
        <w:rPr>
          <w:i w:val="false"/>
          <w:iCs w:val="false"/>
          <w:sz w:val="20"/>
          <w:szCs w:val="20"/>
        </w:rPr>
        <w:t xml:space="preserve">Not all links are equal, and the difference between them is exactly the difference between the three personas. We propose classifying every opportunity-space-to-business link into one of five types, and deriving from it a single number: portfolio distance, the shortest path in the graph from the opportunity space to a configuration that could actually deliver 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3300"/>
        <w:gridCol w:w="1500"/>
        <w:gridCol w:w="2726"/>
      </w:tblGrid>
      <w:tr>
        <w:trPr>
          <w:cantSplit w:val="false"/>
          <w:tblHeader/>
        </w:trPr>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Type</w:t>
            </w:r>
          </w:p>
        </w:tc>
        <w:tc>
          <w:tcPr>
            <w:tcW w:type="dxa" w:w="33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Meaning</w:t>
            </w:r>
          </w:p>
        </w:tc>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Owner</w:t>
            </w:r>
          </w:p>
        </w:tc>
        <w:tc>
          <w:tcPr>
            <w:tcW w:type="dxa" w:w="27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Action</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L0 — Direct</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 existing commercial offer addresses this opportunity as it stands</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Sales</w:t>
            </w:r>
          </w:p>
        </w:tc>
        <w:tc>
          <w:tcPr>
            <w:tcW w:type="dxa" w:w="2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Sell it. Conversation opener, named reference, live offer</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L1 — Bundle</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Two or more existing offers combined address it; the combination is not yet packaged</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Presales</w:t>
            </w:r>
          </w:p>
        </w:tc>
        <w:tc>
          <w:tcPr>
            <w:tcW w:type="dxa" w:w="2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Package it. Bid narrative, integration story, pricing</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L2 — Partner-dependent</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Requires a capability held by an existing partner at a usable tier</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Presales / alliances</w:t>
            </w:r>
          </w:p>
        </w:tc>
        <w:tc>
          <w:tcPr>
            <w:tcW w:type="dxa" w:w="2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Assemble it. Joint proposition with a named partner</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L3 — Adjacent</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Requires building or acquiring one capability; nearby assets, references or research already exist</w:t>
            </w:r>
          </w:p>
        </w:tc>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Strategy</w:t>
            </w:r>
          </w:p>
        </w:tc>
        <w:tc>
          <w:tcPr>
            <w:tcW w:type="dxa" w:w="27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Study it. Business case, prototype, partner scouting</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L4 — White space</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plausible path from the current portfolio</w:t>
            </w:r>
          </w:p>
        </w:tc>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Strategy</w:t>
            </w:r>
          </w:p>
        </w:tc>
        <w:tc>
          <w:tcPr>
            <w:tcW w:type="dxa" w:w="27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Watch it, or reject it explicitly with the reason recorded</w:t>
            </w:r>
          </w:p>
        </w:tc>
      </w:tr>
    </w:tbl>
    <w:p>
      <w:pPr>
        <w:spacing w:after="200" w:before="60"/>
      </w:pPr>
      <w:r>
        <w:rPr>
          <w:i/>
          <w:iCs/>
          <w:color w:val="595959"/>
          <w:sz w:val="16"/>
          <w:szCs w:val="16"/>
        </w:rPr>
        <w:t xml:space="preserve">Table 26 — Link types and the role each implies.</w:t>
      </w:r>
    </w:p>
    <w:p>
      <w:pPr>
        <w:spacing w:after="120" w:line="276"/>
      </w:pPr>
      <w:r>
        <w:rPr>
          <w:b/>
          <w:bCs/>
          <w:i w:val="false"/>
          <w:iCs w:val="false"/>
          <w:sz w:val="20"/>
          <w:szCs w:val="20"/>
        </w:rPr>
        <w:t xml:space="preserve">This is the most decision-relevant number in the product. </w:t>
      </w:r>
      <w:r>
        <w:rPr>
          <w:sz w:val="20"/>
          <w:szCs w:val="20"/>
        </w:rPr>
        <w:t xml:space="preserve">It says which conversation a topic belongs in. It also means the three role modes of Section 4.9 stop being arbitrary interface presets and start falling out of the data: sales sees L0 and L1, presales sees L0 to L2, strategy sees L2 to L4 with the highest attractiveness. A high-attractiveness topic at L4 is precisely the innovation agenda the strategist is looking for, and precisely the thing a salesperson should never be shown.</w:t>
      </w:r>
    </w:p>
    <w:p>
      <w:pPr>
        <w:spacing w:after="120" w:line="276"/>
      </w:pPr>
      <w:r>
        <w:rPr>
          <w:i w:val="false"/>
          <w:iCs w:val="false"/>
          <w:sz w:val="20"/>
          <w:szCs w:val="20"/>
        </w:rPr>
        <w:t xml:space="preserve">It also gives the sales persona's acceptance criterion — only topics with enough internal content to credibly back up — a computable definition rather than a judgement call: L0 or L1, with at least one published reference in the vertical.</w:t>
      </w:r>
    </w:p>
    <w:p>
      <w:pPr>
        <w:pStyle w:val="Heading3"/>
        <w:spacing w:after="100" w:before="220"/>
      </w:pPr>
      <w:r>
        <w:rPr>
          <w:b/>
          <w:bCs/>
          <w:color w:val="1A1A1A"/>
          <w:sz w:val="22"/>
          <w:szCs w:val="22"/>
        </w:rPr>
        <w:t xml:space="preserve">4.5.4 How links get made</w:t>
      </w:r>
    </w:p>
    <w:p>
      <w:pPr>
        <w:spacing w:after="120" w:line="276"/>
      </w:pPr>
      <w:r>
        <w:rPr>
          <w:i w:val="false"/>
          <w:iCs w:val="false"/>
          <w:sz w:val="20"/>
          <w:szCs w:val="20"/>
        </w:rPr>
        <w:t xml:space="preserve">Link assertion is a retrieval and rules problem, not a generation problem. The model may propose; rules and humans dispose.</w:t>
      </w:r>
    </w:p>
    <w:p>
      <w:pPr>
        <w:pStyle w:val="ListParagraph"/>
        <w:numPr>
          <w:ilvl w:val="0"/>
          <w:numId w:val="6"/>
        </w:numPr>
        <w:spacing w:after="60" w:line="276"/>
      </w:pPr>
      <w:r>
        <w:rPr>
          <w:sz w:val="20"/>
          <w:szCs w:val="20"/>
        </w:rPr>
        <w:t xml:space="preserve">Candidate generation: embedding similarity between the opportunity statement and offer descriptions, reference-case texts, partner capability descriptions and patent abstracts. Recall matters more than precision at this stage.</w:t>
      </w:r>
    </w:p>
    <w:p>
      <w:pPr>
        <w:pStyle w:val="ListParagraph"/>
        <w:numPr>
          <w:ilvl w:val="0"/>
          <w:numId w:val="6"/>
        </w:numPr>
        <w:spacing w:after="60" w:line="276"/>
      </w:pPr>
      <w:r>
        <w:rPr>
          <w:sz w:val="20"/>
          <w:szCs w:val="20"/>
        </w:rPr>
        <w:t xml:space="preserve">Rule filtering: taxonomy compatibility. An offer that addresses no compatible use case, or a reference in an incompatible vertical, is eliminated regardless of textual similarity.</w:t>
      </w:r>
    </w:p>
    <w:p>
      <w:pPr>
        <w:pStyle w:val="ListParagraph"/>
        <w:numPr>
          <w:ilvl w:val="0"/>
          <w:numId w:val="6"/>
        </w:numPr>
        <w:spacing w:after="60" w:line="276"/>
      </w:pPr>
      <w:r>
        <w:rPr>
          <w:sz w:val="20"/>
          <w:szCs w:val="20"/>
        </w:rPr>
        <w:t xml:space="preserve">Typing and scoring: classify the surviving candidates into L0–L4 by graph path shape, and attach a confidence.</w:t>
      </w:r>
    </w:p>
    <w:p>
      <w:pPr>
        <w:pStyle w:val="ListParagraph"/>
        <w:numPr>
          <w:ilvl w:val="0"/>
          <w:numId w:val="6"/>
        </w:numPr>
        <w:spacing w:after="60" w:line="276"/>
      </w:pPr>
      <w:r>
        <w:rPr>
          <w:sz w:val="20"/>
          <w:szCs w:val="20"/>
        </w:rPr>
        <w:t xml:space="preserve">Human confirmation: for the first occurrence of each link pattern, a curator confirms or rejects. Confirmations and rejections are stored and become training data for the model of Section 4.7.</w:t>
      </w:r>
    </w:p>
    <w:p>
      <w:pPr>
        <w:pStyle w:val="ListParagraph"/>
        <w:numPr>
          <w:ilvl w:val="0"/>
          <w:numId w:val="6"/>
        </w:numPr>
        <w:spacing w:after="60" w:line="276"/>
      </w:pPr>
      <w:r>
        <w:rPr>
          <w:sz w:val="20"/>
          <w:szCs w:val="20"/>
        </w:rPr>
        <w:t xml:space="preserve">Decay: links are re-validated on the internal-catalogue refresh cycle, because offers are withdrawn and partner tiers change.</w:t>
      </w:r>
    </w:p>
    <w:p>
      <w:pPr>
        <w:spacing w:after="60"/>
      </w:pPr>
      <w:r>
        <w:rPr>
          <w:sz w:val="12"/>
          <w:szCs w:val="12"/>
        </w:rPr>
        <w:t xml:space="preserve"/>
      </w:r>
    </w:p>
    <w:p>
      <w:pPr>
        <w:spacing w:after="120" w:line="276"/>
      </w:pPr>
      <w:r>
        <w:rPr>
          <w:i w:val="false"/>
          <w:iCs w:val="false"/>
          <w:sz w:val="20"/>
          <w:szCs w:val="20"/>
        </w:rPr>
        <w:t xml:space="preserve">Every stored link records its type, confidence, the evidence that justified it and who confirmed it. A link nobody can explain is worse than no link, because it will eventually appear in front of a customer.</w:t>
      </w:r>
    </w:p>
    <w:p>
      <w:pPr>
        <w:pStyle w:val="Heading3"/>
        <w:spacing w:after="100" w:before="220"/>
      </w:pPr>
      <w:r>
        <w:rPr>
          <w:b/>
          <w:bCs/>
          <w:color w:val="1A1A1A"/>
          <w:sz w:val="22"/>
          <w:szCs w:val="22"/>
        </w:rPr>
        <w:t xml:space="preserve">4.5.5 What the graph produces</w:t>
      </w:r>
    </w:p>
    <w:p>
      <w:pPr>
        <w:pStyle w:val="ListParagraph"/>
        <w:numPr>
          <w:ilvl w:val="0"/>
          <w:numId w:val="2"/>
        </w:numPr>
        <w:spacing w:after="60" w:line="276"/>
      </w:pPr>
      <w:r>
        <w:rPr>
          <w:b/>
          <w:bCs/>
          <w:i w:val="false"/>
          <w:iCs w:val="false"/>
          <w:sz w:val="20"/>
          <w:szCs w:val="20"/>
        </w:rPr>
        <w:t xml:space="preserve">The right-to-win components directly. </w:t>
      </w:r>
      <w:r>
        <w:rPr>
          <w:sz w:val="20"/>
          <w:szCs w:val="20"/>
        </w:rPr>
        <w:t xml:space="preserve">Offer match, reference density, partner coverage, certification fit, capability depth and technology ownership all become graph queries with named results rather than model assertions.</w:t>
      </w:r>
    </w:p>
    <w:p>
      <w:pPr>
        <w:pStyle w:val="ListParagraph"/>
        <w:numPr>
          <w:ilvl w:val="0"/>
          <w:numId w:val="2"/>
        </w:numPr>
        <w:spacing w:after="60" w:line="276"/>
      </w:pPr>
      <w:r>
        <w:rPr>
          <w:b/>
          <w:bCs/>
          <w:i w:val="false"/>
          <w:iCs w:val="false"/>
          <w:sz w:val="20"/>
          <w:szCs w:val="20"/>
        </w:rPr>
        <w:t xml:space="preserve">Evidence-gap warnings. </w:t>
      </w:r>
      <w:r>
        <w:rPr>
          <w:sz w:val="20"/>
          <w:szCs w:val="20"/>
        </w:rPr>
        <w:t xml:space="preserve">Where reference density in a (vertical × domain) cell falls below threshold, the warning required by SC-13 is computed, not guessed.</w:t>
      </w:r>
    </w:p>
    <w:p>
      <w:pPr>
        <w:pStyle w:val="ListParagraph"/>
        <w:numPr>
          <w:ilvl w:val="0"/>
          <w:numId w:val="2"/>
        </w:numPr>
        <w:spacing w:after="60" w:line="276"/>
      </w:pPr>
      <w:r>
        <w:rPr>
          <w:b/>
          <w:bCs/>
          <w:i w:val="false"/>
          <w:iCs w:val="false"/>
          <w:sz w:val="20"/>
          <w:szCs w:val="20"/>
        </w:rPr>
        <w:t xml:space="preserve">A white-space map. </w:t>
      </w:r>
      <w:r>
        <w:rPr>
          <w:sz w:val="20"/>
          <w:szCs w:val="20"/>
        </w:rPr>
        <w:t xml:space="preserve">High attractiveness at L4 across the taxonomy grid is the innovation agenda, expressed as a picture rather than a document.</w:t>
      </w:r>
    </w:p>
    <w:p>
      <w:pPr>
        <w:pStyle w:val="ListParagraph"/>
        <w:numPr>
          <w:ilvl w:val="0"/>
          <w:numId w:val="2"/>
        </w:numPr>
        <w:spacing w:after="60" w:line="276"/>
      </w:pPr>
      <w:r>
        <w:rPr>
          <w:b/>
          <w:bCs/>
          <w:i w:val="false"/>
          <w:iCs w:val="false"/>
          <w:sz w:val="20"/>
          <w:szCs w:val="20"/>
        </w:rPr>
        <w:t xml:space="preserve">A reverse query worth having. </w:t>
      </w:r>
      <w:r>
        <w:rPr>
          <w:sz w:val="20"/>
          <w:szCs w:val="20"/>
        </w:rPr>
        <w:t xml:space="preserve">Which offers have no live opportunity space attached? That is a portfolio-decay signal, it comes free with the graph, and it is the kind of finding that gets a tool invited back to the Strategy and Technology Committee.</w:t>
      </w:r>
    </w:p>
    <w:p>
      <w:pPr>
        <w:pStyle w:val="ListParagraph"/>
        <w:numPr>
          <w:ilvl w:val="0"/>
          <w:numId w:val="2"/>
        </w:numPr>
        <w:spacing w:after="60" w:line="276"/>
      </w:pPr>
      <w:r>
        <w:rPr>
          <w:b/>
          <w:bCs/>
          <w:i w:val="false"/>
          <w:iCs w:val="false"/>
          <w:sz w:val="20"/>
          <w:szCs w:val="20"/>
        </w:rPr>
        <w:t xml:space="preserve">A phase-2 upgrade path. </w:t>
      </w:r>
      <w:r>
        <w:rPr>
          <w:sz w:val="20"/>
          <w:szCs w:val="20"/>
        </w:rPr>
        <w:t xml:space="preserve">When CRM access arrives, customer accounts attach as nodes and reference density becomes account overlap, pipeline value and win rate. Nothing else in the design changes.</w:t>
      </w:r>
    </w:p>
    <w:p>
      <w:pPr>
        <w:pStyle w:val="Heading2"/>
        <w:spacing w:after="120" w:before="280"/>
      </w:pPr>
      <w:r>
        <w:rPr>
          <w:b/>
          <w:bCs/>
          <w:color w:val="FF7900"/>
          <w:sz w:val="26"/>
          <w:szCs w:val="26"/>
        </w:rPr>
        <w:t xml:space="preserve">4.6 Scoring implementation: the baseline model</w:t>
      </w:r>
    </w:p>
    <w:p>
      <w:pPr>
        <w:spacing w:after="120" w:line="276"/>
      </w:pPr>
      <w:r>
        <w:rPr>
          <w:i w:val="false"/>
          <w:iCs w:val="false"/>
          <w:sz w:val="20"/>
          <w:szCs w:val="20"/>
        </w:rPr>
        <w:t xml:space="preserve">The briefing's five components, with a proposed computation for each. All are normalised to 0–100 and combined with configurable weights (SC-10). The weights below are the briefing's indicative figures and should be treated as a starting point to be calibrated against user judgement, not as settled.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900"/>
        <w:gridCol w:w="6126"/>
      </w:tblGrid>
      <w:tr>
        <w:trPr>
          <w:cantSplit w:val="false"/>
          <w:tblHeader/>
        </w:trPr>
        <w:tc>
          <w:tcPr>
            <w:tcW w:type="dxa" w:w="2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Component</w:t>
            </w:r>
          </w:p>
        </w:tc>
        <w:tc>
          <w:tcPr>
            <w:tcW w:type="dxa" w:w="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Weight</w:t>
            </w:r>
          </w:p>
        </w:tc>
        <w:tc>
          <w:tcPr>
            <w:tcW w:type="dxa" w:w="61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Proposed computation</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Market signal strength</w:t>
            </w:r>
          </w:p>
        </w:tc>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30%</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Volume of distinct, relevance-gated signals in the trailing window, log-compressed to prevent a single noisy topic from saturating the scale, and normalised against the distribution across all live topics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diversity</w:t>
            </w:r>
          </w:p>
        </w:tc>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20%</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Shannon entropy over the publisher distribution, with tier-4 sources discounted and syndicated duplicates collapsed to one</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Evidence quality</w:t>
            </w:r>
          </w:p>
        </w:tc>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20%</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Tier-weighted mean of contributing signals, with a floor penalty when no tier-1 or tier-2 evidence is present at all</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Novelty and momentum</w:t>
            </w:r>
          </w:p>
        </w:tc>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15%</w:t>
            </w:r>
          </w:p>
        </w:tc>
        <w:tc>
          <w:tcPr>
            <w:tcW w:type="dxa" w:w="6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Slope of recency-weighted signal volume over the trailing periods, plus a bonus for first appearance and a penalty for a long flat history</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Strategic relevance</w:t>
            </w:r>
          </w:p>
        </w:tc>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15%</w:t>
            </w:r>
          </w:p>
        </w:tc>
        <w:tc>
          <w:tcPr>
            <w:tcW w:type="dxa" w:w="6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Rubric score against the three Trust the future ambitions, the six business domains and the two privileged verticals, produced by a model with worked anchor examples and a written rubric</w:t>
            </w:r>
          </w:p>
        </w:tc>
      </w:tr>
    </w:tbl>
    <w:p>
      <w:pPr>
        <w:spacing w:after="200" w:before="60"/>
      </w:pPr>
      <w:r>
        <w:rPr>
          <w:i/>
          <w:iCs/>
          <w:color w:val="595959"/>
          <w:sz w:val="16"/>
          <w:szCs w:val="16"/>
        </w:rPr>
        <w:t xml:space="preserve">Table 27 — Attractiveness components and proposed computation.</w:t>
      </w:r>
    </w:p>
    <w:p>
      <w:pPr>
        <w:spacing w:after="120" w:line="276"/>
      </w:pPr>
      <w:r>
        <w:rPr>
          <w:b/>
          <w:bCs/>
          <w:i w:val="false"/>
          <w:iCs w:val="false"/>
          <w:sz w:val="20"/>
          <w:szCs w:val="20"/>
        </w:rPr>
        <w:t xml:space="preserve">Right-to-win is computed separately (SC-12) </w:t>
      </w:r>
      <w:r>
        <w:rPr>
          <w:sz w:val="20"/>
          <w:szCs w:val="20"/>
        </w:rPr>
        <w:t xml:space="preserve">from the internal asset catalogue: does an existing offer address this (offer match), do published references exist in this vertical and domain (reference density), is there a partner with the required technology at a strong tier (partner coverage), do we hold analyst recognition in this category (external validation), do we have the certifications this vertical demands (compliance fit), do we have the expert capability at scale (capability depth), and do we hold patents or research activity here (technology ownership). Each is a lookup with a stated source, which makes the resulting statement inspectable in a way an aggregate score never is.</w:t>
      </w:r>
    </w:p>
    <w:p>
      <w:pPr>
        <w:spacing w:after="120" w:line="276"/>
      </w:pPr>
      <w:r>
        <w:rPr>
          <w:i w:val="false"/>
          <w:iCs w:val="false"/>
          <w:sz w:val="20"/>
          <w:szCs w:val="20"/>
        </w:rPr>
        <w:t xml:space="preserve">Two guards are worth building in from the start. First, score compression: models asked to rate on a 0–100 scale cluster their answers in a narrow band, so the rubric should use a small number of discrete levels with anchor examples, mapped to numbers afterwards. Second, calibration drift: when weights or prompts change, previously published scores become incomparable, so every score records the configuration version that produced it and the UI never plots trajectories across a version boundary without saying so.</w:t>
      </w:r>
    </w:p>
    <w:p>
      <w:pPr>
        <w:pStyle w:val="Heading2"/>
        <w:spacing w:after="120" w:before="280"/>
      </w:pPr>
      <w:r>
        <w:rPr>
          <w:b/>
          <w:bCs/>
          <w:color w:val="FF7900"/>
          <w:sz w:val="26"/>
          <w:szCs w:val="26"/>
        </w:rPr>
        <w:t xml:space="preserve">4.7 Learning to score: the machine learning path</w:t>
      </w:r>
    </w:p>
    <w:p>
      <w:pPr>
        <w:spacing w:after="120" w:line="276"/>
      </w:pPr>
      <w:r>
        <w:rPr>
          <w:i w:val="false"/>
          <w:iCs w:val="false"/>
          <w:sz w:val="20"/>
          <w:szCs w:val="20"/>
        </w:rPr>
        <w:t xml:space="preserve">The weighted model of Section 4.6 is a starting point with a known weakness: its weights are asserted, not derived. Nobody knows whether source diversity is worth twenty per cent. The purpose of this section is to set out how the system stops asserting and starts learning, and — more usefully — how one of the two learning problems can be solved before a single user has clicked anything.</w:t>
      </w:r>
    </w:p>
    <w:p>
      <w:pPr>
        <w:pStyle w:val="Heading3"/>
        <w:spacing w:after="100" w:before="220"/>
      </w:pPr>
      <w:r>
        <w:rPr>
          <w:b/>
          <w:bCs/>
          <w:color w:val="1A1A1A"/>
          <w:sz w:val="22"/>
          <w:szCs w:val="22"/>
        </w:rPr>
        <w:t xml:space="preserve">4.7.1 Why the baseline comes first</w:t>
      </w:r>
    </w:p>
    <w:p>
      <w:pPr>
        <w:spacing w:after="120" w:line="276"/>
      </w:pPr>
      <w:r>
        <w:rPr>
          <w:i w:val="false"/>
          <w:iCs w:val="false"/>
          <w:sz w:val="20"/>
          <w:szCs w:val="20"/>
        </w:rPr>
        <w:t xml:space="preserve">On day one there are no labels, no engagement history and no outcomes. A supervised model has nothing to learn from. The transparent baseline is not a placeholder to be discarded: it is the instrument that generates the labels, it is the permanent challenger against which any learned model must prove itself, and it is the fallback the system reverts to if a learned model cannot meet the explainability constraint. Building the baseline first is therefore the shortest path to a learned model, not a detour around one.</w:t>
      </w:r>
    </w:p>
    <w:p>
      <w:pPr>
        <w:pStyle w:val="Heading3"/>
        <w:spacing w:after="100" w:before="220"/>
      </w:pPr>
      <w:r>
        <w:rPr>
          <w:b/>
          <w:bCs/>
          <w:color w:val="1A1A1A"/>
          <w:sz w:val="22"/>
          <w:szCs w:val="22"/>
        </w:rPr>
        <w:t xml:space="preserve">4.7.2 Two learning problems, not one</w:t>
      </w:r>
    </w:p>
    <w:p>
      <w:pPr>
        <w:spacing w:after="120" w:line="276"/>
      </w:pPr>
      <w:r>
        <w:rPr>
          <w:i w:val="false"/>
          <w:iCs w:val="false"/>
          <w:sz w:val="20"/>
          <w:szCs w:val="20"/>
        </w:rPr>
        <w:t xml:space="preserve">Conflating these is the most common way this kind of project stalls, because one of them needs human labels and the other does not.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3763"/>
        <w:gridCol w:w="3763"/>
      </w:tblGrid>
      <w:tr>
        <w:trPr>
          <w:cantSplit w:val="false"/>
          <w:tblHeader/>
        </w:trPr>
        <w:tc>
          <w:tcPr>
            <w:tcW w:type="dxa" w:w="15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
            </w:r>
          </w:p>
        </w:tc>
        <w:tc>
          <w:tcPr>
            <w:tcW w:type="dxa" w:w="3763"/>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Problem A — Relevance ranking</w:t>
            </w:r>
          </w:p>
        </w:tc>
        <w:tc>
          <w:tcPr>
            <w:tcW w:type="dxa" w:w="3763"/>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Problem B — Emergence forecasting</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Question</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Which topics should this role see first?</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Will this topic's signal keep growing over the next two quarters?</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Target</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Expert preference, per role</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Observed future signal volume, diversity and procurement activity</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Supervision</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Human labels required</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Self-supervised from historical archives — no human labels at all</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 start</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After roughly 300–600 pairwise judgements</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As soon as the pipeline can replay history, around Sprint 5</w:t>
            </w:r>
          </w:p>
        </w:tc>
      </w:tr>
      <w:tr>
        <w:trPr>
          <w:cantSplit w:val="false"/>
          <w:tblHeader w:val="false"/>
        </w:trPr>
        <w:tc>
          <w:tcPr>
            <w:tcW w:type="dxa" w:w="15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Serves</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Ranking, role modes, personalisation</w:t>
            </w:r>
          </w:p>
        </w:tc>
        <w:tc>
          <w:tcPr>
            <w:tcW w:type="dxa" w:w="3763"/>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Momentum component, Now / Next / Later classification, watchlist promotion</w:t>
            </w:r>
          </w:p>
        </w:tc>
      </w:tr>
      <w:tr>
        <w:trPr>
          <w:cantSplit w:val="false"/>
          <w:tblHeader w:val="false"/>
        </w:trPr>
        <w:tc>
          <w:tcPr>
            <w:tcW w:type="dxa" w:w="1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Failure mode</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Label scarcity, rater disagreement, exposure bias</w:t>
            </w:r>
          </w:p>
        </w:tc>
        <w:tc>
          <w:tcPr>
            <w:tcW w:type="dxa" w:w="3763"/>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Leakage from future data, regime change</w:t>
            </w:r>
          </w:p>
        </w:tc>
      </w:tr>
    </w:tbl>
    <w:p>
      <w:pPr>
        <w:spacing w:after="200" w:before="60"/>
      </w:pPr>
      <w:r>
        <w:rPr>
          <w:i/>
          <w:iCs/>
          <w:color w:val="595959"/>
          <w:sz w:val="16"/>
          <w:szCs w:val="16"/>
        </w:rPr>
        <w:t xml:space="preserve">Table 28 — The two distinct learning problems.</w:t>
      </w:r>
    </w:p>
    <w:p>
      <w:pPr>
        <w:spacing w:after="120" w:line="276"/>
      </w:pPr>
      <w:r>
        <w:rPr>
          <w:b/>
          <w:bCs/>
          <w:i w:val="false"/>
          <w:iCs w:val="false"/>
          <w:sz w:val="20"/>
          <w:szCs w:val="20"/>
        </w:rPr>
        <w:t xml:space="preserve">Problem B is the one worth getting excited about. </w:t>
      </w:r>
      <w:r>
        <w:rPr>
          <w:sz w:val="20"/>
          <w:szCs w:val="20"/>
        </w:rPr>
        <w:t xml:space="preserve">GDELT, EUR-Lex, CORDIS, TED and the patent databases are all historical archives. The pipeline can therefore be run as if it were an earlier date — reconstruct the state of the world in Q1 2024, generate the opportunity spaces that would have been generated then, and check against what actually happened by Q1 2026. Ground truth is free, abundant and already sitting in the sources the MVP ingests anyway.</w:t>
      </w:r>
    </w:p>
    <w:p>
      <w:pPr>
        <w:spacing w:after="120" w:line="276"/>
      </w:pPr>
      <w:r>
        <w:rPr>
          <w:i w:val="false"/>
          <w:iCs w:val="false"/>
          <w:sz w:val="20"/>
          <w:szCs w:val="20"/>
        </w:rPr>
        <w:t xml:space="preserve">This converts the momentum component and the time-horizon classification from rules that sound sensible into predictions with a measured hit rate. It also produces the single most persuasive demonstration available to this project: showing that the radar, run on 2024 data, would have surfaced something that subsequently became obvious. That is a far stronger argument for adoption than any current-quarter output, and it is worth budgeting for deliberately rather than hoping it falls out of Sprint 6.</w:t>
      </w:r>
    </w:p>
    <w:p>
      <w:pPr>
        <w:pStyle w:val="Heading3"/>
        <w:spacing w:after="100" w:before="220"/>
      </w:pPr>
      <w:r>
        <w:rPr>
          <w:b/>
          <w:bCs/>
          <w:color w:val="1A1A1A"/>
          <w:sz w:val="22"/>
          <w:szCs w:val="22"/>
        </w:rPr>
        <w:t xml:space="preserve">4.7.3 Features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6"/>
      </w:tblGrid>
      <w:tr>
        <w:trPr>
          <w:cantSplit w:val="false"/>
          <w:tblHeader/>
        </w:trPr>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Group</w:t>
            </w:r>
          </w:p>
        </w:tc>
        <w:tc>
          <w:tcPr>
            <w:tcW w:type="dxa" w:w="68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Features</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Signal-derived</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count and its log; distinct publisher count; publisher entropy; tier mix; signal-type mix; recency-weighted volume; slope over trailing windows; volume acceleration; geographic spread; language spread; first-seen age</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Graph-derived (Section 4.5)</w:t>
            </w:r>
          </w:p>
        </w:tc>
        <w:tc>
          <w:tcPr>
            <w:tcW w:type="dxa" w:w="6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Portfolio distance; link-type distribution; offer-match count; reference density in vertical and in (vertical × domain); partner coverage and best tier; certification fit; capability depth; patent coverage; analyst position present</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Taxonomy</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Vertical, use case, technology and domain as categorical features; grid-cell density; neighbour-cell activity</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Regulatory</w:t>
            </w:r>
          </w:p>
        </w:tc>
        <w:tc>
          <w:tcPr>
            <w:tcW w:type="dxa" w:w="6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Presence of a dated obligation; months to deadline; jurisdiction count; instrument stage (consultation, adopted, applicable)</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Procurement</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Tender count and value in matched CPV codes; trend; award concentration among competitors</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Text</w:t>
            </w:r>
          </w:p>
        </w:tc>
        <w:tc>
          <w:tcPr>
            <w:tcW w:type="dxa" w:w="6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Embedding of the opportunity statement; specificity score from the critic pass; statement length and concreteness heuristics</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Temporal</w:t>
            </w:r>
          </w:p>
        </w:tc>
        <w:tc>
          <w:tcPr>
            <w:tcW w:type="dxa" w:w="6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Age in state; number of state transitions; time since last qualifying signal</w:t>
            </w:r>
          </w:p>
        </w:tc>
      </w:tr>
    </w:tbl>
    <w:p>
      <w:pPr>
        <w:spacing w:after="200" w:before="60"/>
      </w:pPr>
      <w:r>
        <w:rPr>
          <w:i/>
          <w:iCs/>
          <w:color w:val="595959"/>
          <w:sz w:val="16"/>
          <w:szCs w:val="16"/>
        </w:rPr>
        <w:t xml:space="preserve">Table 29 — Candidate feature groups.</w:t>
      </w:r>
    </w:p>
    <w:p>
      <w:pPr>
        <w:spacing w:after="120" w:line="276"/>
      </w:pPr>
      <w:r>
        <w:rPr>
          <w:b/>
          <w:bCs/>
          <w:i w:val="false"/>
          <w:iCs w:val="false"/>
          <w:sz w:val="20"/>
          <w:szCs w:val="20"/>
        </w:rPr>
        <w:t xml:space="preserve">One discipline matters more than all feature engineering: </w:t>
      </w:r>
      <w:r>
        <w:rPr>
          <w:sz w:val="20"/>
          <w:szCs w:val="20"/>
        </w:rPr>
        <w:t xml:space="preserve">when backtesting, every feature must be computable from data whose publication date precedes the reference date. Not the ingestion date — the publication date. Leakage through late-arriving documents is the standard way a forecasting model of this kind produces excellent offline results and useless live ones, and it is invisible unless the pipeline is designed to prevent it from the start.</w:t>
      </w:r>
    </w:p>
    <w:p>
      <w:pPr>
        <w:pStyle w:val="Heading3"/>
        <w:spacing w:after="100" w:before="220"/>
      </w:pPr>
      <w:r>
        <w:rPr>
          <w:b/>
          <w:bCs/>
          <w:color w:val="1A1A1A"/>
          <w:sz w:val="22"/>
          <w:szCs w:val="22"/>
        </w:rPr>
        <w:t xml:space="preserve">4.7.4 Model family, under the explainability constraint</w:t>
      </w:r>
    </w:p>
    <w:p>
      <w:pPr>
        <w:spacing w:after="120" w:line="276"/>
      </w:pPr>
      <w:r>
        <w:rPr>
          <w:i w:val="false"/>
          <w:iCs w:val="false"/>
          <w:sz w:val="20"/>
          <w:szCs w:val="20"/>
        </w:rPr>
        <w:t xml:space="preserve">The briefing's requirement that the model must explain the number, not merely produce it, rules out the obvious default of an unconstrained gradient-boosted ensemble. It does not rule out learning. Three options, in order of preference: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4200"/>
        <w:gridCol w:w="2226"/>
      </w:tblGrid>
      <w:tr>
        <w:trPr>
          <w:cantSplit w:val="false"/>
          <w:tblHeader/>
        </w:trPr>
        <w:tc>
          <w:tcPr>
            <w:tcW w:type="dxa" w:w="2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Option</w:t>
            </w:r>
          </w:p>
        </w:tc>
        <w:tc>
          <w:tcPr>
            <w:tcW w:type="dxa" w:w="4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Why</w:t>
            </w:r>
          </w:p>
        </w:tc>
        <w:tc>
          <w:tcPr>
            <w:tcW w:type="dxa" w:w="22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Cost</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Generalised additive model with pairwise interactions (an Explainable Boosting Machine or equivalent)</w:t>
            </w:r>
          </w:p>
        </w:tc>
        <w:tc>
          <w:tcPr>
            <w:tcW w:type="dxa" w:w="4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Additive by construction, so the score still decomposes into named per-feature contributions with a visible shape function for each. This preserves exactly what SC-07 and NFR-01 require while learning the weights and the non-linearities the linear baseline cannot express</w:t>
            </w:r>
          </w:p>
        </w:tc>
        <w:tc>
          <w:tcPr>
            <w:tcW w:type="dxa" w:w="2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Slightly below an unconstrained ensemble on raw accuracy; usually by less than the label noise</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Gradient-boosted ranker with monotonic constraints, explained with Shapley values</w:t>
            </w:r>
          </w:p>
        </w:tc>
        <w:tc>
          <w:tcPr>
            <w:tcW w:type="dxa" w:w="4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Stronger ranking performance; monotonic constraints prevent the perverse behaviour of a score falling when evidence improves; Shapley values give per-topic attribution</w:t>
            </w:r>
          </w:p>
        </w:tc>
        <w:tc>
          <w:tcPr>
            <w:tcW w:type="dxa" w:w="2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Attribution is post-hoc rather than intrinsic, which is a weaker position in front of a governance body</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Learned weights on the existing linear model</w:t>
            </w:r>
          </w:p>
        </w:tc>
        <w:tc>
          <w:tcPr>
            <w:tcW w:type="dxa" w:w="4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Minimal change; keeps the published formula intact and simply fits its five weights to expert preference</w:t>
            </w:r>
          </w:p>
        </w:tc>
        <w:tc>
          <w:tcPr>
            <w:tcW w:type="dxa" w:w="2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Cannot capture non-linearity or interaction, but is a genuine improvement over asserted weights and can ship early</w:t>
            </w:r>
          </w:p>
        </w:tc>
      </w:tr>
    </w:tbl>
    <w:p>
      <w:pPr>
        <w:spacing w:after="200" w:before="60"/>
      </w:pPr>
      <w:r>
        <w:rPr>
          <w:i/>
          <w:iCs/>
          <w:color w:val="595959"/>
          <w:sz w:val="16"/>
          <w:szCs w:val="16"/>
        </w:rPr>
        <w:t xml:space="preserve">Table 30 — Model options and their trade-offs.</w:t>
      </w:r>
    </w:p>
    <w:p>
      <w:pPr>
        <w:spacing w:after="120" w:line="276"/>
      </w:pPr>
      <w:r>
        <w:rPr>
          <w:i w:val="false"/>
          <w:iCs w:val="false"/>
          <w:sz w:val="20"/>
          <w:szCs w:val="20"/>
        </w:rPr>
        <w:t xml:space="preserve">For Problem A the objective should be ranking rather than regression, optimised on a metric such as NDCG at the number of topics a role actually sees, with a separate model per role. Absolute scores are not what the product needs and are not what experts can reliably provide.</w:t>
      </w:r>
    </w:p>
    <w:p>
      <w:pPr>
        <w:spacing w:after="120" w:line="276"/>
      </w:pPr>
      <w:r>
        <w:rPr>
          <w:b/>
          <w:bCs/>
          <w:i w:val="false"/>
          <w:iCs w:val="false"/>
          <w:sz w:val="20"/>
          <w:szCs w:val="20"/>
        </w:rPr>
        <w:t xml:space="preserve">On label elicitation: </w:t>
      </w:r>
      <w:r>
        <w:rPr>
          <w:sz w:val="20"/>
          <w:szCs w:val="20"/>
        </w:rPr>
        <w:t xml:space="preserve">ask for comparisons, not scores. People are unreliable at rating a topic 73 out of 100 and reliable at saying which of two topics they would rather take into a meeting. A two-topic comparison widget embedded in the workflow — shown occasionally, taking five seconds — will produce more usable labels in a month than a survey will produce ever. Roughly three to six hundred comparisons per role is enough to fit a ranker over the feature set above.</w:t>
      </w:r>
    </w:p>
    <w:p>
      <w:pPr>
        <w:spacing w:after="120" w:line="276"/>
      </w:pPr>
      <w:r>
        <w:rPr>
          <w:i w:val="false"/>
          <w:iCs w:val="false"/>
          <w:sz w:val="20"/>
          <w:szCs w:val="20"/>
        </w:rPr>
        <w:t xml:space="preserve">The distributed-assessment collaboration model of Section 4.10 is worth revisiting in this light. Its real value is not the ratings themselves but that it generates exactly this labelled data as a by-product of a process people would want anyway.</w:t>
      </w:r>
    </w:p>
    <w:p>
      <w:pPr>
        <w:pStyle w:val="Heading3"/>
        <w:spacing w:after="100" w:before="220"/>
      </w:pPr>
      <w:r>
        <w:rPr>
          <w:b/>
          <w:bCs/>
          <w:color w:val="1A1A1A"/>
          <w:sz w:val="22"/>
          <w:szCs w:val="22"/>
        </w:rPr>
        <w:t xml:space="preserve">4.7.5 Evaluation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6"/>
      </w:tblGrid>
      <w:tr>
        <w:trPr>
          <w:cantSplit w:val="false"/>
          <w:tblHeader/>
        </w:trPr>
        <w:tc>
          <w:tcPr>
            <w:tcW w:type="dxa" w:w="26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Metric</w:t>
            </w:r>
          </w:p>
        </w:tc>
        <w:tc>
          <w:tcPr>
            <w:tcW w:type="dxa" w:w="64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What it answers</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NDCG@k per role, on a temporal holdout</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Does the model rank better than the baseline for the people who use it?</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Kendall tau against expert ranking</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How far is the model's ordering from a domain expert's?</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Now-horizon precision</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Of topics classified Now at time T, what fraction saw a real buying event — a matched tender award, an offer launch, a published deal — within twelve months?</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Backtest lift</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Rank correlation between predicted momentum at T and observed momentum at T plus two quarters, against a persistence baseline</w:t>
            </w:r>
          </w:p>
        </w:tc>
      </w:tr>
      <w:tr>
        <w:trPr>
          <w:cantSplit w:val="false"/>
          <w:tblHeader w:val="false"/>
        </w:trPr>
        <w:tc>
          <w:tcPr>
            <w:tcW w:type="dxa" w:w="26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Calibration curve</w:t>
            </w:r>
          </w:p>
        </w:tc>
        <w:tc>
          <w:tcPr>
            <w:tcW w:type="dxa" w:w="64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When the model says a topic is likely to grow, does it grow at that rate?</w:t>
            </w:r>
          </w:p>
        </w:tc>
      </w:tr>
      <w:tr>
        <w:trPr>
          <w:cantSplit w:val="false"/>
          <w:tblHeader w:val="false"/>
        </w:trPr>
        <w:tc>
          <w:tcPr>
            <w:tcW w:type="dxa" w:w="26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Baseline delta</w:t>
            </w:r>
          </w:p>
        </w:tc>
        <w:tc>
          <w:tcPr>
            <w:tcW w:type="dxa" w:w="64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Does the learned model beat the transparent baseline by enough to justify its opacity?</w:t>
            </w:r>
          </w:p>
        </w:tc>
      </w:tr>
    </w:tbl>
    <w:p>
      <w:pPr>
        <w:spacing w:after="200" w:before="60"/>
      </w:pPr>
      <w:r>
        <w:rPr>
          <w:i/>
          <w:iCs/>
          <w:color w:val="595959"/>
          <w:sz w:val="16"/>
          <w:szCs w:val="16"/>
        </w:rPr>
        <w:t xml:space="preserve">Table 31 — Evaluation metrics.</w:t>
      </w:r>
    </w:p>
    <w:p>
      <w:pPr>
        <w:spacing w:after="120" w:line="276"/>
      </w:pPr>
      <w:r>
        <w:rPr>
          <w:i w:val="false"/>
          <w:iCs w:val="false"/>
          <w:sz w:val="20"/>
          <w:szCs w:val="20"/>
        </w:rPr>
        <w:t xml:space="preserve">Splitting must be temporal, never random. A random split on time-series data leaks the future into the training set and will report accuracy the system cannot reproduce in use. The persistence baseline — assume next quarter looks like this one — is the honest comparator for Problem B, and beating it is harder than it sounds.</w:t>
      </w:r>
    </w:p>
    <w:p>
      <w:pPr>
        <w:pStyle w:val="Heading3"/>
        <w:spacing w:after="100" w:before="220"/>
      </w:pPr>
      <w:r>
        <w:rPr>
          <w:b/>
          <w:bCs/>
          <w:color w:val="1A1A1A"/>
          <w:sz w:val="22"/>
          <w:szCs w:val="22"/>
        </w:rPr>
        <w:t xml:space="preserve">4.7.6 The pathologies of feedback data</w:t>
      </w:r>
    </w:p>
    <w:p>
      <w:pPr>
        <w:spacing w:after="120" w:line="276"/>
      </w:pPr>
      <w:r>
        <w:rPr>
          <w:i w:val="false"/>
          <w:iCs w:val="false"/>
          <w:sz w:val="20"/>
          <w:szCs w:val="20"/>
        </w:rPr>
        <w:t xml:space="preserve">A ranking system that learns from its own users' behaviour will, left alone, learn to confirm itself. Four failure modes and their standard remedies:</w:t>
      </w:r>
    </w:p>
    <w:p>
      <w:pPr>
        <w:pStyle w:val="ListParagraph"/>
        <w:numPr>
          <w:ilvl w:val="0"/>
          <w:numId w:val="2"/>
        </w:numPr>
        <w:spacing w:after="60" w:line="276"/>
      </w:pPr>
      <w:r>
        <w:rPr>
          <w:b/>
          <w:bCs/>
          <w:i w:val="false"/>
          <w:iCs w:val="false"/>
          <w:sz w:val="20"/>
          <w:szCs w:val="20"/>
        </w:rPr>
        <w:t xml:space="preserve">Exposure bias. </w:t>
      </w:r>
      <w:r>
        <w:rPr>
          <w:sz w:val="20"/>
          <w:szCs w:val="20"/>
        </w:rPr>
        <w:t xml:space="preserve">Topics ranked highly get opened more, which the model reads as evidence they deserve to rank highly. Remedy: reserve a small randomised slot in every view for topics the model did not rank first, and weight observed engagement by the inverse of the probability that the topic was shown.</w:t>
      </w:r>
    </w:p>
    <w:p>
      <w:pPr>
        <w:pStyle w:val="ListParagraph"/>
        <w:numPr>
          <w:ilvl w:val="0"/>
          <w:numId w:val="2"/>
        </w:numPr>
        <w:spacing w:after="60" w:line="276"/>
      </w:pPr>
      <w:r>
        <w:rPr>
          <w:b/>
          <w:bCs/>
          <w:i w:val="false"/>
          <w:iCs w:val="false"/>
          <w:sz w:val="20"/>
          <w:szCs w:val="20"/>
        </w:rPr>
        <w:t xml:space="preserve">Selection bias. </w:t>
      </w:r>
      <w:r>
        <w:rPr>
          <w:sz w:val="20"/>
          <w:szCs w:val="20"/>
        </w:rPr>
        <w:t xml:space="preserve">Only Active topics are displayed, so Watchlist topics never accumulate labels and the model never learns to promote them. Remedy: deliberately sample Watchlist topics into the exploration slot.</w:t>
      </w:r>
    </w:p>
    <w:p>
      <w:pPr>
        <w:pStyle w:val="ListParagraph"/>
        <w:numPr>
          <w:ilvl w:val="0"/>
          <w:numId w:val="2"/>
        </w:numPr>
        <w:spacing w:after="60" w:line="276"/>
      </w:pPr>
      <w:r>
        <w:rPr>
          <w:b/>
          <w:bCs/>
          <w:i w:val="false"/>
          <w:iCs w:val="false"/>
          <w:sz w:val="20"/>
          <w:szCs w:val="20"/>
        </w:rPr>
        <w:t xml:space="preserve">Rater disagreement. </w:t>
      </w:r>
      <w:r>
        <w:rPr>
          <w:sz w:val="20"/>
          <w:szCs w:val="20"/>
        </w:rPr>
        <w:t xml:space="preserve">Track inter-rater agreement explicitly. Persistently low agreement on a criterion means the criterion is ill-defined, not that the model is failing — and the right response is to fix the rubric, not the loss function.</w:t>
      </w:r>
    </w:p>
    <w:p>
      <w:pPr>
        <w:pStyle w:val="ListParagraph"/>
        <w:numPr>
          <w:ilvl w:val="0"/>
          <w:numId w:val="2"/>
        </w:numPr>
        <w:spacing w:after="60" w:line="276"/>
      </w:pPr>
      <w:r>
        <w:rPr>
          <w:b/>
          <w:bCs/>
          <w:i w:val="false"/>
          <w:iCs w:val="false"/>
          <w:sz w:val="20"/>
          <w:szCs w:val="20"/>
        </w:rPr>
        <w:t xml:space="preserve">Drift. </w:t>
      </w:r>
      <w:r>
        <w:rPr>
          <w:sz w:val="20"/>
          <w:szCs w:val="20"/>
        </w:rPr>
        <w:t xml:space="preserve">The relationship between signal patterns and real opportunity changes with the market. Monitor feature distributions and model performance on a rolling window, set a retraining cadence, and treat a sustained performance drop as an alert rather than something noticed at the next review.</w:t>
      </w:r>
    </w:p>
    <w:p>
      <w:pPr>
        <w:pStyle w:val="Heading3"/>
        <w:spacing w:after="100" w:before="220"/>
      </w:pPr>
      <w:r>
        <w:rPr>
          <w:b/>
          <w:bCs/>
          <w:color w:val="1A1A1A"/>
          <w:sz w:val="22"/>
          <w:szCs w:val="22"/>
        </w:rPr>
        <w:t xml:space="preserve">4.7.7 Governance of the model</w:t>
      </w:r>
    </w:p>
    <w:p>
      <w:pPr>
        <w:spacing w:after="120" w:line="276"/>
      </w:pPr>
      <w:r>
        <w:rPr>
          <w:i w:val="false"/>
          <w:iCs w:val="false"/>
          <w:sz w:val="20"/>
          <w:szCs w:val="20"/>
        </w:rPr>
        <w:t xml:space="preserve">Given the Data and AI Ethics Council's remit, the learned model should ship with the documentation such a body expects: a model card recording purpose, training data, feature list, performance by segment, known limitations and intended use; a champion–challenger arrangement in which the transparent baseline is always the standing challenger; and a rule that no score is published that the system cannot decompose on demand. Every published score records its model version alongside its weight-set version, so historical trajectories remain interpretable across retraining boundaries.</w:t>
      </w:r>
    </w:p>
    <w:p>
      <w:pPr>
        <w:spacing w:after="120" w:line="276"/>
      </w:pPr>
      <w:r>
        <w:rPr>
          <w:i w:val="false"/>
          <w:iCs w:val="false"/>
          <w:sz w:val="20"/>
          <w:szCs w:val="20"/>
        </w:rPr>
        <w:t xml:space="preserve">Human override should be supported and, more importantly, instrumented. A curator who moves a topic up or down is providing a label of exactly the kind the model needs, and the reason they record is the most valuable free text in the system.</w:t>
      </w:r>
    </w:p>
    <w:p>
      <w:pPr>
        <w:pStyle w:val="Heading2"/>
        <w:spacing w:after="120" w:before="280"/>
      </w:pPr>
      <w:r>
        <w:rPr>
          <w:b/>
          <w:bCs/>
          <w:color w:val="FF7900"/>
          <w:sz w:val="26"/>
          <w:szCs w:val="26"/>
        </w:rPr>
        <w:t xml:space="preserve">4.8 Lifecycle, watchlist and time horizon</w:t>
      </w:r>
    </w:p>
    <w:p>
      <w:pPr>
        <w:spacing w:after="120" w:line="276"/>
      </w:pPr>
      <w:r>
        <w:rPr>
          <w:i w:val="false"/>
          <w:iCs w:val="false"/>
          <w:sz w:val="20"/>
          <w:szCs w:val="20"/>
        </w:rPr>
        <w:t xml:space="preserve">The briefing asks for watchlist logic and Now / Next / Later classification as explicit deliverables. Both are cleanly expressed as a state machine over topics.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1900"/>
        <w:gridCol w:w="3300"/>
        <w:gridCol w:w="2626"/>
      </w:tblGrid>
      <w:tr>
        <w:trPr>
          <w:cantSplit w:val="false"/>
          <w:tblHeader/>
        </w:trPr>
        <w:tc>
          <w:tcPr>
            <w:tcW w:type="dxa" w:w="1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State</w:t>
            </w:r>
          </w:p>
        </w:tc>
        <w:tc>
          <w:tcPr>
            <w:tcW w:type="dxa" w:w="1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Meaning</w:t>
            </w:r>
          </w:p>
        </w:tc>
        <w:tc>
          <w:tcPr>
            <w:tcW w:type="dxa" w:w="33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Entry condition</w:t>
            </w:r>
          </w:p>
        </w:tc>
        <w:tc>
          <w:tcPr>
            <w:tcW w:type="dxa" w:w="26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Exit</w:t>
            </w:r>
          </w:p>
        </w:tc>
      </w:tr>
      <w:tr>
        <w:trPr>
          <w:cantSplit w:val="false"/>
          <w:tblHeader w:val="false"/>
        </w:trPr>
        <w:tc>
          <w:tcPr>
            <w:tcW w:type="dxa" w:w="1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Candidate</w:t>
            </w:r>
          </w:p>
        </w:tc>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Generated but not yet validated</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Emitted by synthesis</w:t>
            </w:r>
          </w:p>
        </w:tc>
        <w:tc>
          <w:tcPr>
            <w:tcW w:type="dxa" w:w="2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Passes specificity and evidence thresholds → Watchlist or Active</w:t>
            </w:r>
          </w:p>
        </w:tc>
      </w:tr>
      <w:tr>
        <w:trPr>
          <w:cantSplit w:val="false"/>
          <w:tblHeader w:val="false"/>
        </w:trPr>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Watchlist</w:t>
            </w:r>
          </w:p>
        </w:tc>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Real but thin: an early signal</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Evidence exists but below the promotion threshold on volume, diversity or tier</w:t>
            </w:r>
          </w:p>
        </w:tc>
        <w:tc>
          <w:tcPr>
            <w:tcW w:type="dxa" w:w="2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Crosses threshold → Active; no new signal for n periods → Dormant</w:t>
            </w:r>
          </w:p>
        </w:tc>
      </w:tr>
      <w:tr>
        <w:trPr>
          <w:cantSplit w:val="false"/>
          <w:tblHeader w:val="false"/>
        </w:trPr>
        <w:tc>
          <w:tcPr>
            <w:tcW w:type="dxa" w:w="1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Active</w:t>
            </w:r>
          </w:p>
        </w:tc>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full opportunity space, shown on the radar</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Meets thresholds on signal volume, source diversity and evidence quality</w:t>
            </w:r>
          </w:p>
        </w:tc>
        <w:tc>
          <w:tcPr>
            <w:tcW w:type="dxa" w:w="2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decay → Fading</w:t>
            </w:r>
          </w:p>
        </w:tc>
      </w:tr>
      <w:tr>
        <w:trPr>
          <w:cantSplit w:val="false"/>
          <w:tblHeader w:val="false"/>
        </w:trPr>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Fading</w:t>
            </w:r>
          </w:p>
        </w:tc>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Was active, momentum negative</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Sustained negative momentum</w:t>
            </w:r>
          </w:p>
        </w:tc>
        <w:tc>
          <w:tcPr>
            <w:tcW w:type="dxa" w:w="2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Recovers → Active; continues → Dormant</w:t>
            </w:r>
          </w:p>
        </w:tc>
      </w:tr>
      <w:tr>
        <w:trPr>
          <w:cantSplit w:val="false"/>
          <w:tblHeader w:val="false"/>
        </w:trPr>
        <w:tc>
          <w:tcPr>
            <w:tcW w:type="dxa" w:w="1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Dormant</w:t>
            </w:r>
          </w:p>
        </w:tc>
        <w:tc>
          <w:tcPr>
            <w:tcW w:type="dxa" w:w="1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Retained for history, not shown by default</w:t>
            </w:r>
          </w:p>
        </w:tc>
        <w:tc>
          <w:tcPr>
            <w:tcW w:type="dxa" w:w="33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 qualifying signal for n periods</w:t>
            </w:r>
          </w:p>
        </w:tc>
        <w:tc>
          <w:tcPr>
            <w:tcW w:type="dxa" w:w="26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New signal → Watchlist</w:t>
            </w:r>
          </w:p>
        </w:tc>
      </w:tr>
      <w:tr>
        <w:trPr>
          <w:cantSplit w:val="false"/>
          <w:tblHeader w:val="false"/>
        </w:trPr>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Rejected</w:t>
            </w:r>
          </w:p>
        </w:tc>
        <w:tc>
          <w:tcPr>
            <w:tcW w:type="dxa" w:w="1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Failed curation</w:t>
            </w:r>
          </w:p>
        </w:tc>
        <w:tc>
          <w:tcPr>
            <w:tcW w:type="dxa" w:w="33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Generic, duplicate, or unsupported</w:t>
            </w:r>
          </w:p>
        </w:tc>
        <w:tc>
          <w:tcPr>
            <w:tcW w:type="dxa" w:w="26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Permanent, with reason recorded</w:t>
            </w:r>
          </w:p>
        </w:tc>
      </w:tr>
    </w:tbl>
    <w:p>
      <w:pPr>
        <w:spacing w:after="200" w:before="60"/>
      </w:pPr>
      <w:r>
        <w:rPr>
          <w:i/>
          <w:iCs/>
          <w:color w:val="595959"/>
          <w:sz w:val="16"/>
          <w:szCs w:val="16"/>
        </w:rPr>
        <w:t xml:space="preserve">Table 32 — Topic lifecycle states.</w:t>
      </w:r>
    </w:p>
    <w:p>
      <w:pPr>
        <w:spacing w:after="120" w:line="276"/>
      </w:pPr>
      <w:r>
        <w:rPr>
          <w:b/>
          <w:bCs/>
          <w:i w:val="false"/>
          <w:iCs w:val="false"/>
          <w:sz w:val="20"/>
          <w:szCs w:val="20"/>
        </w:rPr>
        <w:t xml:space="preserve">Time horizon </w:t>
      </w:r>
      <w:r>
        <w:rPr>
          <w:sz w:val="20"/>
          <w:szCs w:val="20"/>
        </w:rPr>
        <w:t xml:space="preserve">should be derived rather than judged wherever possible, because derived classifications are explainable and consistent. Now: a dated compliance deadline or budgeted procurement within twelve months, or a deployable standard release plus live tenders. Next: regulation adopted but not yet applicable, standards frozen but not deployed, pilots published but no volume procurement. Later: research and patent activity rising, policy consultation open, no product-grade offer in the market. Where derivation is impossible the model may classify, but must say which of these tests it applied.</w:t>
      </w:r>
    </w:p>
    <w:p>
      <w:pPr>
        <w:pStyle w:val="Heading2"/>
        <w:spacing w:after="120" w:before="280"/>
      </w:pPr>
      <w:r>
        <w:rPr>
          <w:b/>
          <w:bCs/>
          <w:color w:val="FF7900"/>
          <w:sz w:val="26"/>
          <w:szCs w:val="26"/>
        </w:rPr>
        <w:t xml:space="preserve">4.9 User interface</w:t>
      </w:r>
    </w:p>
    <w:p>
      <w:pPr>
        <w:spacing w:after="120" w:line="276"/>
      </w:pPr>
      <w:r>
        <w:rPr>
          <w:i w:val="false"/>
          <w:iCs w:val="false"/>
          <w:sz w:val="20"/>
          <w:szCs w:val="20"/>
        </w:rPr>
        <w:t xml:space="preserve">The briefing's own words are the design brief: when I open a topic I don't just want to read about it, I want to act on it. Actionability is the key. Four screens carry the MVP.</w:t>
      </w:r>
    </w:p>
    <w:p>
      <w:pPr>
        <w:pStyle w:val="Heading3"/>
        <w:spacing w:after="100" w:before="220"/>
      </w:pPr>
      <w:r>
        <w:rPr>
          <w:b/>
          <w:bCs/>
          <w:color w:val="1A1A1A"/>
          <w:sz w:val="22"/>
          <w:szCs w:val="22"/>
        </w:rPr>
        <w:t xml:space="preserve">Radar view</w:t>
      </w:r>
    </w:p>
    <w:p>
      <w:pPr>
        <w:spacing w:after="120" w:line="276"/>
      </w:pPr>
      <w:r>
        <w:rPr>
          <w:i w:val="false"/>
          <w:iCs w:val="false"/>
          <w:sz w:val="20"/>
          <w:szCs w:val="20"/>
        </w:rPr>
        <w:t xml:space="preserve">The signature visual. A polar layout where angular sectors are business domains, radial distance is time horizon (Now at the centre, Later at the rim), marker size is attractiveness and marker colour is right-to-win. This encodes four dimensions without a legend anyone has to study, and it makes the two questions the radar exists to answer — should we bet on it, can we win — visible simultaneously. Filters apply live; the topic count per view is capped per AC-05.</w:t>
      </w:r>
    </w:p>
    <w:p>
      <w:pPr>
        <w:pStyle w:val="Heading3"/>
        <w:spacing w:after="100" w:before="220"/>
      </w:pPr>
      <w:r>
        <w:rPr>
          <w:b/>
          <w:bCs/>
          <w:color w:val="1A1A1A"/>
          <w:sz w:val="22"/>
          <w:szCs w:val="22"/>
        </w:rPr>
        <w:t xml:space="preserve">Topic detail</w:t>
      </w:r>
    </w:p>
    <w:p>
      <w:pPr>
        <w:spacing w:after="120" w:line="276"/>
      </w:pPr>
      <w:r>
        <w:rPr>
          <w:i w:val="false"/>
          <w:iCs w:val="false"/>
          <w:sz w:val="20"/>
          <w:szCs w:val="20"/>
        </w:rPr>
        <w:t xml:space="preserve">One page, in the order the user's questions arrive: the opportunity statement; why it is hot now, with each claim linked to its dated source; where it can deliver value and for whom (vertical and persona); can we play and can we win, itemised against named Orange assets; proof points; the score breakdown, expanded rather than hidden behind a tooltip; and the recommended next action for the current role.</w:t>
      </w:r>
    </w:p>
    <w:p>
      <w:pPr>
        <w:pStyle w:val="Heading3"/>
        <w:spacing w:after="100" w:before="220"/>
      </w:pPr>
      <w:r>
        <w:rPr>
          <w:b/>
          <w:bCs/>
          <w:color w:val="1A1A1A"/>
          <w:sz w:val="22"/>
          <w:szCs w:val="22"/>
        </w:rPr>
        <w:t xml:space="preserve">Role modes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3200"/>
        <w:gridCol w:w="2400"/>
        <w:gridCol w:w="2226"/>
      </w:tblGrid>
      <w:tr>
        <w:trPr>
          <w:cantSplit w:val="false"/>
          <w:tblHeader/>
        </w:trPr>
        <w:tc>
          <w:tcPr>
            <w:tcW w:type="dxa" w:w="1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Mode</w:t>
            </w:r>
          </w:p>
        </w:tc>
        <w:tc>
          <w:tcPr>
            <w:tcW w:type="dxa" w:w="3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Default ranking</w:t>
            </w:r>
          </w:p>
        </w:tc>
        <w:tc>
          <w:tcPr>
            <w:tcW w:type="dxa" w:w="24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Default filters</w:t>
            </w:r>
          </w:p>
        </w:tc>
        <w:tc>
          <w:tcPr>
            <w:tcW w:type="dxa" w:w="22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Primary action</w:t>
            </w:r>
          </w:p>
        </w:tc>
      </w:tr>
      <w:tr>
        <w:trPr>
          <w:cantSplit w:val="false"/>
          <w:tblHeader w:val="false"/>
        </w:trPr>
        <w:tc>
          <w:tcPr>
            <w:tcW w:type="dxa" w:w="1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Strategist</w:t>
            </w:r>
          </w:p>
        </w:tc>
        <w:tc>
          <w:tcPr>
            <w:tcW w:type="dxa" w:w="3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Attractiveness first, novelty weighted up; low right-to-win is not a penalty but a flag</w:t>
            </w:r>
          </w:p>
        </w:tc>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None — breadth is the point</w:t>
            </w:r>
          </w:p>
        </w:tc>
        <w:tc>
          <w:tcPr>
            <w:tcW w:type="dxa" w:w="2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Open a deep-dive brief</w:t>
            </w:r>
          </w:p>
        </w:tc>
      </w:tr>
      <w:tr>
        <w:trPr>
          <w:cantSplit w:val="false"/>
          <w:tblHeader w:val="false"/>
        </w:trPr>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Sales</w:t>
            </w:r>
          </w:p>
        </w:tc>
        <w:tc>
          <w:tcPr>
            <w:tcW w:type="dxa" w:w="3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and proof-point density first; only topics with enough internal content to back up</w:t>
            </w:r>
          </w:p>
        </w:tc>
        <w:tc>
          <w:tcPr>
            <w:tcW w:type="dxa" w:w="24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Persona and vertical, pre-set to the user's accounts</w:t>
            </w:r>
          </w:p>
        </w:tc>
        <w:tc>
          <w:tcPr>
            <w:tcW w:type="dxa" w:w="22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Copy a conversation opener</w:t>
            </w:r>
          </w:p>
        </w:tc>
      </w:tr>
      <w:tr>
        <w:trPr>
          <w:cantSplit w:val="false"/>
          <w:tblHeader w:val="false"/>
        </w:trPr>
        <w:tc>
          <w:tcPr>
            <w:tcW w:type="dxa" w:w="1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Presales</w:t>
            </w:r>
          </w:p>
        </w:tc>
        <w:tc>
          <w:tcPr>
            <w:tcW w:type="dxa" w:w="3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Differentiation potential: topics where Orange has assets and the market has few credible providers</w:t>
            </w:r>
          </w:p>
        </w:tc>
        <w:tc>
          <w:tcPr>
            <w:tcW w:type="dxa" w:w="24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Domain and offer coverage</w:t>
            </w:r>
          </w:p>
        </w:tc>
        <w:tc>
          <w:tcPr>
            <w:tcW w:type="dxa" w:w="22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Assemble a bid brief</w:t>
            </w:r>
          </w:p>
        </w:tc>
      </w:tr>
    </w:tbl>
    <w:p>
      <w:pPr>
        <w:spacing w:after="200" w:before="60"/>
      </w:pPr>
      <w:r>
        <w:rPr>
          <w:i/>
          <w:iCs/>
          <w:color w:val="595959"/>
          <w:sz w:val="16"/>
          <w:szCs w:val="16"/>
        </w:rPr>
        <w:t xml:space="preserve">Table 33 — Role mode presets, per the briefing's requirement that each role has sensible defaults.</w:t>
      </w:r>
    </w:p>
    <w:p>
      <w:pPr>
        <w:pStyle w:val="Heading3"/>
        <w:spacing w:after="100" w:before="220"/>
      </w:pPr>
      <w:r>
        <w:rPr>
          <w:b/>
          <w:bCs/>
          <w:color w:val="1A1A1A"/>
          <w:sz w:val="22"/>
          <w:szCs w:val="22"/>
        </w:rPr>
        <w:t xml:space="preserve">Search and filter</w:t>
      </w:r>
    </w:p>
    <w:p>
      <w:pPr>
        <w:spacing w:after="120" w:line="276"/>
      </w:pPr>
      <w:r>
        <w:rPr>
          <w:i w:val="false"/>
          <w:iCs w:val="false"/>
          <w:sz w:val="20"/>
          <w:szCs w:val="20"/>
        </w:rPr>
        <w:t xml:space="preserve">All four filter dimensions as multi-select (AC-04), plus free-text search over statements and signals. Persona + vertical returns topics ranked by the relevant radar criteria. Saved views and a periodic digest are the cheapest mechanism for making the tool part of a routine rather than something people remember to open.</w:t>
      </w:r>
    </w:p>
    <w:p>
      <w:pPr>
        <w:pStyle w:val="Heading2"/>
        <w:spacing w:after="120" w:before="280"/>
      </w:pPr>
      <w:r>
        <w:rPr>
          <w:b/>
          <w:bCs/>
          <w:color w:val="FF7900"/>
          <w:sz w:val="26"/>
          <w:szCs w:val="26"/>
        </w:rPr>
        <w:t xml:space="preserve">4.10 Collaboration between the three roles</w:t>
      </w:r>
    </w:p>
    <w:p>
      <w:pPr>
        <w:spacing w:after="120" w:line="276"/>
      </w:pPr>
      <w:r>
        <w:rPr>
          <w:i w:val="false"/>
          <w:iCs w:val="false"/>
          <w:sz w:val="20"/>
          <w:szCs w:val="20"/>
        </w:rPr>
        <w:t xml:space="preserve">The brief proposes a sequential process: strategy makes initial choices, sales estimates customer demand, presales validates and builds go-to-market collateral. That is a sound default. Three alternatives are worth considering alongside it, and the recommendation is a combination.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2900"/>
        <w:gridCol w:w="2200"/>
        <w:gridCol w:w="2126"/>
      </w:tblGrid>
      <w:tr>
        <w:trPr>
          <w:cantSplit w:val="false"/>
          <w:tblHeader/>
        </w:trPr>
        <w:tc>
          <w:tcPr>
            <w:tcW w:type="dxa" w:w="18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Model</w:t>
            </w:r>
          </w:p>
        </w:tc>
        <w:tc>
          <w:tcPr>
            <w:tcW w:type="dxa" w:w="2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How it works</w:t>
            </w:r>
          </w:p>
        </w:tc>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Strengths</w:t>
            </w:r>
          </w:p>
        </w:tc>
        <w:tc>
          <w:tcPr>
            <w:tcW w:type="dxa" w:w="21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Weaknesses</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 Sequential stage-gate (the proposed model)</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Topic moves through Shortlisted → Demand-tested → Packaged → Live, with an owner and an SLA per stage</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Clear accountability; visible funnel; easy to instrument and report</w:t>
            </w:r>
          </w:p>
        </w:tc>
        <w:tc>
          <w:tcPr>
            <w:tcW w:type="dxa" w:w="2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Latency; a topic can die waiting for a stage owner; assumes strategy always originates</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 — Bottom-up signal injection</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Sales and presales can inject an internal signal — a customer question, an RFP theme, a lost deal — which enters the same pipeline as external evidence</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Captures the most valuable signal in the company, which currently lives only in people's heads; strong engagement driver</w:t>
            </w:r>
          </w:p>
        </w:tc>
        <w:tc>
          <w:tcPr>
            <w:tcW w:type="dxa" w:w="2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Needs moderation to avoid one loud account distorting the radar; requires the internal signal type to be weighted carefully</w:t>
            </w:r>
          </w:p>
        </w:tc>
      </w:tr>
      <w:tr>
        <w:trPr>
          <w:cantSplit w:val="false"/>
          <w:tblHeader w:val="false"/>
        </w:trPr>
        <w:tc>
          <w:tcPr>
            <w:tcW w:type="dxa" w:w="18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 — Distributed assessment</w:t>
            </w:r>
          </w:p>
        </w:tc>
        <w:tc>
          <w:tcPr>
            <w:tcW w:type="dxa" w:w="2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All three roles rate topics on their own axis (strategy: attractiveness; sales: demand; presales: deliverability). Divergence between the external score and internal ratings is surfaced as a review trigger</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Cheap to participate in; disagreement becomes information rather than friction; naturally produces the calibration data the model needs</w:t>
            </w:r>
          </w:p>
        </w:tc>
        <w:tc>
          <w:tcPr>
            <w:tcW w:type="dxa" w:w="21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Requires enough participants to be meaningful; risk of popularity bias if ratings are visible before submission</w:t>
            </w:r>
          </w:p>
        </w:tc>
      </w:tr>
      <w:tr>
        <w:trPr>
          <w:cantSplit w:val="false"/>
          <w:tblHeader w:val="false"/>
        </w:trPr>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D — Periodic review board</w:t>
            </w:r>
          </w:p>
        </w:tc>
        <w:tc>
          <w:tcPr>
            <w:tcW w:type="dxa" w:w="2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quarterly session where a curated shortlist is decided on, feeding the Strategy and Technology Committee cadence</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Fits existing governance; forces decisions; creates the ritual that keeps the radar alive</w:t>
            </w:r>
          </w:p>
        </w:tc>
        <w:tc>
          <w:tcPr>
            <w:tcW w:type="dxa" w:w="21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Too slow on its own; risks becoming a reporting exercise rather than a decision one</w:t>
            </w:r>
          </w:p>
        </w:tc>
      </w:tr>
    </w:tbl>
    <w:p>
      <w:pPr>
        <w:spacing w:after="200" w:before="60"/>
      </w:pPr>
      <w:r>
        <w:rPr>
          <w:i/>
          <w:iCs/>
          <w:color w:val="595959"/>
          <w:sz w:val="16"/>
          <w:szCs w:val="16"/>
        </w:rPr>
        <w:t xml:space="preserve">Table 34 — Four collaboration models.</w:t>
      </w:r>
    </w:p>
    <w:p>
      <w:pPr>
        <w:spacing w:after="120" w:line="276"/>
      </w:pPr>
      <w:r>
        <w:rPr>
          <w:b/>
          <w:bCs/>
          <w:i w:val="false"/>
          <w:iCs w:val="false"/>
          <w:sz w:val="20"/>
          <w:szCs w:val="20"/>
        </w:rPr>
        <w:t xml:space="preserve">Recommendation: A + B + D, with C as a fast follower. </w:t>
      </w:r>
      <w:r>
        <w:rPr>
          <w:sz w:val="20"/>
          <w:szCs w:val="20"/>
        </w:rPr>
        <w:t xml:space="preserve">Run the stage-gate as the backbone because it produces accountability, but open the front of the pipeline to bottom-up injection so that the people closest to customers can put something in rather than only take something out. Anchor it with a quarterly review board so decisions actually get made. Add distributed assessment once there are enough active users for the ratings to mean anything — at which point it starts generating the labelled data described in Section 4.7 as a by-product.</w:t>
      </w:r>
    </w:p>
    <w:p>
      <w:pPr>
        <w:pStyle w:val="Heading2"/>
        <w:spacing w:after="120" w:before="280"/>
      </w:pPr>
      <w:r>
        <w:rPr>
          <w:b/>
          <w:bCs/>
          <w:color w:val="FF7900"/>
          <w:sz w:val="26"/>
          <w:szCs w:val="26"/>
        </w:rPr>
        <w:t xml:space="preserve">4.11 Delivery roadmap</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2200"/>
        <w:gridCol w:w="5926"/>
      </w:tblGrid>
      <w:tr>
        <w:trPr>
          <w:cantSplit w:val="false"/>
          <w:tblHeader/>
        </w:trPr>
        <w:tc>
          <w:tcPr>
            <w:tcW w:type="dxa" w:w="9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Sprint</w:t>
            </w:r>
          </w:p>
        </w:tc>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Focus</w:t>
            </w:r>
          </w:p>
        </w:tc>
        <w:tc>
          <w:tcPr>
            <w:tcW w:type="dxa" w:w="59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Output</w:t>
            </w:r>
          </w:p>
        </w:tc>
      </w:tr>
      <w:tr>
        <w:trPr>
          <w:cantSplit w:val="false"/>
          <w:tblHeader w:val="false"/>
        </w:trPr>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0</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Foundations</w:t>
            </w:r>
          </w:p>
        </w:tc>
        <w:tc>
          <w:tcPr>
            <w:tcW w:type="dxa" w:w="5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Use-case and technology vocabularies defined; classification crosswalks (NACE, CPV, CPC/IPC, offer categories) drafted; source catalogue confirmed with access tested; opportunity space schema fixed; source tiering agreed; 20 hand-written gold-standard opportunity spaces to evaluate against</w:t>
            </w:r>
          </w:p>
        </w:tc>
      </w:tr>
      <w:tr>
        <w:trPr>
          <w:cantSplit w:val="false"/>
          <w:tblHeader w:val="false"/>
        </w:trPr>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1</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Ingestion</w:t>
            </w:r>
          </w:p>
        </w:tc>
        <w:tc>
          <w:tcPr>
            <w:tcW w:type="dxa" w:w="5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Connectors for the first tranche — GDELT, EUR-Lex, TED, CORDIS, one patent source, targeted news — with normalisation, deduplication and the signal store. Archives retained from the start so historical replay stays possible</w:t>
            </w:r>
          </w:p>
        </w:tc>
      </w:tr>
      <w:tr>
        <w:trPr>
          <w:cantSplit w:val="false"/>
          <w:tblHeader w:val="false"/>
        </w:trPr>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2</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Classification and clustering</w:t>
            </w:r>
          </w:p>
        </w:tc>
        <w:tc>
          <w:tcPr>
            <w:tcW w:type="dxa" w:w="5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typing, source tiering, relevance gating, embedding and clustering; measured against the gold standard</w:t>
            </w:r>
          </w:p>
        </w:tc>
      </w:tr>
      <w:tr>
        <w:trPr>
          <w:cantSplit w:val="false"/>
          <w:tblHeader w:val="false"/>
        </w:trPr>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3</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Synthesis and curation</w:t>
            </w:r>
          </w:p>
        </w:tc>
        <w:tc>
          <w:tcPr>
            <w:tcW w:type="dxa" w:w="5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Generation, critic pass, specificity validation, deduplication, canonical identity, first candidate set reviewed with client users</w:t>
            </w:r>
          </w:p>
        </w:tc>
      </w:tr>
      <w:tr>
        <w:trPr>
          <w:cantSplit w:val="false"/>
          <w:tblHeader w:val="false"/>
        </w:trPr>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4</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Business graph and linking</w:t>
            </w:r>
          </w:p>
        </w:tc>
        <w:tc>
          <w:tcPr>
            <w:tcW w:type="dxa" w:w="5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 Business Graph populated from public assets; crosswalks operational; link generation, typing into L0–L4 and curator confirmation; portfolio distance computed</w:t>
            </w:r>
          </w:p>
        </w:tc>
      </w:tr>
      <w:tr>
        <w:trPr>
          <w:cantSplit w:val="false"/>
          <w:tblHeader w:val="false"/>
        </w:trPr>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5</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Scoring</w:t>
            </w:r>
          </w:p>
        </w:tc>
        <w:tc>
          <w:tcPr>
            <w:tcW w:type="dxa" w:w="5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Five deterministic and rubric components, right-to-win from the graph, horizon derivation, lifecycle states, evidence-gap warnings</w:t>
            </w:r>
          </w:p>
        </w:tc>
      </w:tr>
      <w:tr>
        <w:trPr>
          <w:cantSplit w:val="false"/>
          <w:tblHeader w:val="false"/>
        </w:trPr>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6</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Radar and detail views</w:t>
            </w:r>
          </w:p>
        </w:tc>
        <w:tc>
          <w:tcPr>
            <w:tcW w:type="dxa" w:w="5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Radar visual, topic detail, filtering, three role modes driven by portfolio distance, next-action generation, comparison widget for label capture</w:t>
            </w:r>
          </w:p>
        </w:tc>
      </w:tr>
      <w:tr>
        <w:trPr>
          <w:cantSplit w:val="false"/>
          <w:tblHeader w:val="false"/>
        </w:trPr>
        <w:tc>
          <w:tcPr>
            <w:tcW w:type="dxa" w:w="9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7</w:t>
            </w:r>
          </w:p>
        </w:tc>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Historical replay and validation</w:t>
            </w:r>
          </w:p>
        </w:tc>
        <w:tc>
          <w:tcPr>
            <w:tcW w:type="dxa" w:w="59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Pipeline re-run as of an earlier date with leakage controls; backtest of momentum and horizon against observed outcomes; second live refresh proving topic continuity; scripted acceptance testing per persona</w:t>
            </w:r>
          </w:p>
        </w:tc>
      </w:tr>
      <w:tr>
        <w:trPr>
          <w:cantSplit w:val="false"/>
          <w:tblHeader w:val="false"/>
        </w:trPr>
        <w:tc>
          <w:tcPr>
            <w:tcW w:type="dxa" w:w="9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Phase 2</w:t>
            </w:r>
          </w:p>
        </w:tc>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Learned scoring and collaboration</w:t>
            </w:r>
          </w:p>
        </w:tc>
        <w:tc>
          <w:tcPr>
            <w:tcW w:type="dxa" w:w="59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Emergence-forecasting model from the backtest harness; ranking model per role once labels accumulate; CRM join; collaboration workflow; API</w:t>
            </w:r>
          </w:p>
        </w:tc>
      </w:tr>
    </w:tbl>
    <w:p>
      <w:pPr>
        <w:spacing w:after="200" w:before="60"/>
      </w:pPr>
      <w:r>
        <w:rPr>
          <w:i/>
          <w:iCs/>
          <w:color w:val="595959"/>
          <w:sz w:val="16"/>
          <w:szCs w:val="16"/>
        </w:rPr>
        <w:t xml:space="preserve">Table 35 — Indicative delivery roadmap.</w:t>
      </w:r>
    </w:p>
    <w:p>
      <w:pPr>
        <w:spacing w:after="120" w:line="276"/>
      </w:pPr>
      <w:r>
        <w:rPr>
          <w:i w:val="false"/>
          <w:iCs w:val="false"/>
          <w:sz w:val="20"/>
          <w:szCs w:val="20"/>
        </w:rPr>
        <w:t xml:space="preserve">One sequencing note. The second refresh in Sprint 6 is not a formality; it is the point at which the system either demonstrates that it is a living radar or reveals that it is a one-off report generator. It should be scheduled deliberately and early enough that there is time to fix what it exposes.</w:t>
      </w:r>
    </w:p>
    <w:p>
      <w:pPr>
        <w:pStyle w:val="Heading2"/>
        <w:spacing w:after="120" w:before="280"/>
      </w:pPr>
      <w:r>
        <w:rPr>
          <w:b/>
          <w:bCs/>
          <w:color w:val="FF7900"/>
          <w:sz w:val="26"/>
          <w:szCs w:val="26"/>
        </w:rPr>
        <w:t xml:space="preserve">4.12 Risks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2000"/>
        <w:gridCol w:w="4826"/>
      </w:tblGrid>
      <w:tr>
        <w:trPr>
          <w:cantSplit w:val="false"/>
          <w:tblHeader/>
        </w:trPr>
        <w:tc>
          <w:tcPr>
            <w:tcW w:type="dxa" w:w="22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Risk</w:t>
            </w:r>
          </w:p>
        </w:tc>
        <w:tc>
          <w:tcPr>
            <w:tcW w:type="dxa" w:w="2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Impact</w:t>
            </w:r>
          </w:p>
        </w:tc>
        <w:tc>
          <w:tcPr>
            <w:tcW w:type="dxa" w:w="48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Mitigation</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Fabricated facts reach a customer-facing brief</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Severe — reputational, and fatal to adoption</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Evidence binding, no model-generated numbers, entailment checks, visible sources on every claim</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Output is generic despite the specificity requirement</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product fails its core promise</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Automated specificity validation against the taxonomy triple; adversarial critic pass; the client's own six examples as anchors</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Echo-chamber effect from vendor marketing</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Inflated scores for whatever is best-marketed</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tiering with capped tier-4 contribution; publisher-level diversity; syndication collapse</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Anglophone and EU bias in sources</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Systematic blind spots in a 65-country footprint</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Multilingual ingestion via GDELT; explicit language and geography coverage monitoring as a reported metric</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Topic identity churns between refreshes</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Momentum becomes unmeasurable; trust collapses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Canonical triple identity, merge review, history preservation, tested explicitly in Sprint 6</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blocked on CRM access</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Half the value proposition delayed indefinitely</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Bootstrap from public assets; treat CRM as enrichment, not as a dependency</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Adoption stalls after the launch demo</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radar becomes a dashboard nobody opens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Role modes, saved views and digests; the quarterly board as a forcing ritual; bottom-up injection to give users a reason to return</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Licensing or terms-of-use breach in ingestion</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Legal exposure</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Store by reference, respect robots.txt and per-source terms, prefer open-licensed sources, document the position per source</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Scoring is contested and cannot be defended</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Governance approval fails</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Full decomposition, configuration versioning, reproducibility, and the calibration path of Section 4.7</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Crosswalk errors propagate silently</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Every downstream number — market size, procurement volume, reference density — inherits the error</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Versioned crosswalk with per-row confidence and a named owner; spot-check sampling; review whenever a source scheme changes</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Business graph decays as offers and partner tiers change</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Right-to-win claims become false, which is worse than absent</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Monthly re-validation cycle; links carry dates; withdrawn offers propagate to affected topics as a flag</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Learned model cannot be explained to governance</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model is built and cannot be deployed</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Additive model family by preference; transparent baseline as permanent champion until a challenger wins on both accuracy and decomposability</w:t>
            </w:r>
          </w:p>
        </w:tc>
      </w:tr>
      <w:tr>
        <w:trPr>
          <w:cantSplit w:val="false"/>
          <w:tblHeader w:val="false"/>
        </w:trPr>
        <w:tc>
          <w:tcPr>
            <w:tcW w:type="dxa" w:w="22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Feedback loop learns to confirm itself</w:t>
            </w:r>
          </w:p>
        </w:tc>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Ranking ossifies; genuinely new topics never surface</w:t>
            </w:r>
          </w:p>
        </w:tc>
        <w:tc>
          <w:tcPr>
            <w:tcW w:type="dxa" w:w="48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Randomised exploration slot, inverse propensity weighting, deliberate sampling of Watchlist topics</w:t>
            </w:r>
          </w:p>
        </w:tc>
      </w:tr>
      <w:tr>
        <w:trPr>
          <w:cantSplit w:val="false"/>
          <w:tblHeader w:val="false"/>
        </w:trPr>
        <w:tc>
          <w:tcPr>
            <w:tcW w:type="dxa" w:w="2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Leakage in the historical backtest</w:t>
            </w:r>
          </w:p>
        </w:tc>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Excellent offline results, useless live performance</w:t>
            </w:r>
          </w:p>
        </w:tc>
        <w:tc>
          <w:tcPr>
            <w:tcW w:type="dxa" w:w="48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Features computed strictly from publication dates preceding the reference date; temporal splits only; persistence baseline as comparator</w:t>
            </w:r>
          </w:p>
        </w:tc>
      </w:tr>
    </w:tbl>
    <w:p>
      <w:pPr>
        <w:spacing w:after="200" w:before="60"/>
      </w:pPr>
      <w:r>
        <w:rPr>
          <w:i/>
          <w:iCs/>
          <w:color w:val="595959"/>
          <w:sz w:val="16"/>
          <w:szCs w:val="16"/>
        </w:rPr>
        <w:t xml:space="preserve">Table 36 — Principal risks and mitigations.</w:t>
      </w:r>
    </w:p>
    <w:p>
      <w:pPr>
        <w:pStyle w:val="Heading2"/>
        <w:spacing w:after="120" w:before="280"/>
      </w:pPr>
      <w:r>
        <w:rPr>
          <w:b/>
          <w:bCs/>
          <w:color w:val="FF7900"/>
          <w:sz w:val="26"/>
          <w:szCs w:val="26"/>
        </w:rPr>
        <w:t xml:space="preserve">4.13 Open questions for Orange</w:t>
      </w:r>
    </w:p>
    <w:p>
      <w:pPr>
        <w:pStyle w:val="ListParagraph"/>
        <w:numPr>
          <w:ilvl w:val="0"/>
          <w:numId w:val="7"/>
        </w:numPr>
        <w:spacing w:after="60" w:line="276"/>
      </w:pPr>
      <w:r>
        <w:rPr>
          <w:sz w:val="20"/>
          <w:szCs w:val="20"/>
        </w:rPr>
        <w:t xml:space="preserve">Which geographies are in scope for the MVP, and does the radar need to distinguish urgency by country from day one, or is an EU-plus-France view sufficient to validate?</w:t>
      </w:r>
    </w:p>
    <w:p>
      <w:pPr>
        <w:pStyle w:val="ListParagraph"/>
        <w:numPr>
          <w:ilvl w:val="0"/>
          <w:numId w:val="7"/>
        </w:numPr>
        <w:spacing w:after="60" w:line="276"/>
      </w:pPr>
      <w:r>
        <w:rPr>
          <w:sz w:val="20"/>
          <w:szCs w:val="20"/>
        </w:rPr>
        <w:t xml:space="preserve">What refresh cadence is expected — weekly, fortnightly, monthly? This drives connector design and cost more than any other single decision.</w:t>
      </w:r>
    </w:p>
    <w:p>
      <w:pPr>
        <w:pStyle w:val="ListParagraph"/>
        <w:numPr>
          <w:ilvl w:val="0"/>
          <w:numId w:val="7"/>
        </w:numPr>
        <w:spacing w:after="60" w:line="276"/>
      </w:pPr>
      <w:r>
        <w:rPr>
          <w:sz w:val="20"/>
          <w:szCs w:val="20"/>
        </w:rPr>
        <w:t xml:space="preserve">Are there constraints on where inference may run? Specifically, may an external model API be used during the MVP, or must the system be sovereign-deployable from the start?</w:t>
      </w:r>
    </w:p>
    <w:p>
      <w:pPr>
        <w:pStyle w:val="ListParagraph"/>
        <w:numPr>
          <w:ilvl w:val="0"/>
          <w:numId w:val="7"/>
        </w:numPr>
        <w:spacing w:after="60" w:line="276"/>
      </w:pPr>
      <w:r>
        <w:rPr>
          <w:sz w:val="20"/>
          <w:szCs w:val="20"/>
        </w:rPr>
        <w:t xml:space="preserve">Which system is the CRM of record for phase 2, and who owns the access decision?</w:t>
      </w:r>
    </w:p>
    <w:p>
      <w:pPr>
        <w:pStyle w:val="ListParagraph"/>
        <w:numPr>
          <w:ilvl w:val="0"/>
          <w:numId w:val="7"/>
        </w:numPr>
        <w:spacing w:after="60" w:line="276"/>
      </w:pPr>
      <w:r>
        <w:rPr>
          <w:sz w:val="20"/>
          <w:szCs w:val="20"/>
        </w:rPr>
        <w:t xml:space="preserve">Which existing artefacts can be used to bootstrap the internal asset catalogue — is there an internal offer catalogue, reference-case database or capability register that is better structured than the public website?</w:t>
      </w:r>
    </w:p>
    <w:p>
      <w:pPr>
        <w:pStyle w:val="ListParagraph"/>
        <w:numPr>
          <w:ilvl w:val="0"/>
          <w:numId w:val="7"/>
        </w:numPr>
        <w:spacing w:after="60" w:line="276"/>
      </w:pPr>
      <w:r>
        <w:rPr>
          <w:sz w:val="20"/>
          <w:szCs w:val="20"/>
        </w:rPr>
        <w:t xml:space="preserve">Who is the curator? The process assumes a named human owner who reviews merges, adjudicates rejections and signs off the published radar. Without one, quality drifts.</w:t>
      </w:r>
    </w:p>
    <w:p>
      <w:pPr>
        <w:pStyle w:val="ListParagraph"/>
        <w:numPr>
          <w:ilvl w:val="0"/>
          <w:numId w:val="7"/>
        </w:numPr>
        <w:spacing w:after="60" w:line="276"/>
      </w:pPr>
      <w:r>
        <w:rPr>
          <w:sz w:val="20"/>
          <w:szCs w:val="20"/>
        </w:rPr>
        <w:t xml:space="preserve">What relationship should this system have to existing Orange innovation processes — Orange Fab, Orange Ventures, the Customer Innovation Center, the Scientific Council? A topic that reaches Active should have somewhere to go.</w:t>
      </w:r>
    </w:p>
    <w:p>
      <w:pPr>
        <w:pStyle w:val="ListParagraph"/>
        <w:numPr>
          <w:ilvl w:val="0"/>
          <w:numId w:val="7"/>
        </w:numPr>
        <w:spacing w:after="60" w:line="276"/>
      </w:pPr>
      <w:r>
        <w:rPr>
          <w:sz w:val="20"/>
          <w:szCs w:val="20"/>
        </w:rPr>
        <w:t xml:space="preserve">Is there an existing internal taxonomy for use cases and technologies that should be adopted rather than invented, so that the radar's vocabulary matches the offer catalogue's?</w:t>
      </w:r>
    </w:p>
    <w:p>
      <w:pPr>
        <w:pStyle w:val="ListParagraph"/>
        <w:numPr>
          <w:ilvl w:val="0"/>
          <w:numId w:val="7"/>
        </w:numPr>
        <w:spacing w:after="60" w:line="276"/>
      </w:pPr>
      <w:r>
        <w:rPr>
          <w:sz w:val="20"/>
          <w:szCs w:val="20"/>
        </w:rPr>
        <w:t xml:space="preserve">What is the intended relationship with the Data and AI Ethics Council — is a review required before deployment, and if so, what does it expect to see?</w:t>
      </w:r>
    </w:p>
    <w:p>
      <w:pPr>
        <w:pStyle w:val="ListParagraph"/>
        <w:numPr>
          <w:ilvl w:val="0"/>
          <w:numId w:val="7"/>
        </w:numPr>
        <w:spacing w:after="60" w:line="276"/>
      </w:pPr>
      <w:r>
        <w:rPr>
          <w:sz w:val="20"/>
          <w:szCs w:val="20"/>
        </w:rPr>
        <w:t xml:space="preserve">Does an internal, structured offer catalogue exist with stable identifiers, and can it be exported? The public website is workable but the business graph is materially better with the real thing.</w:t>
      </w:r>
    </w:p>
    <w:p>
      <w:pPr>
        <w:pStyle w:val="ListParagraph"/>
        <w:numPr>
          <w:ilvl w:val="0"/>
          <w:numId w:val="7"/>
        </w:numPr>
        <w:spacing w:after="60" w:line="276"/>
      </w:pPr>
      <w:r>
        <w:rPr>
          <w:sz w:val="20"/>
          <w:szCs w:val="20"/>
        </w:rPr>
        <w:t xml:space="preserve">Who owns the crosswalk between Orange's vertical scheme and external classifications, and does an internal mapping to NACE already exist anywhere in the organisation?</w:t>
      </w:r>
    </w:p>
    <w:p>
      <w:pPr>
        <w:pStyle w:val="ListParagraph"/>
        <w:numPr>
          <w:ilvl w:val="0"/>
          <w:numId w:val="7"/>
        </w:numPr>
        <w:spacing w:after="60" w:line="276"/>
      </w:pPr>
      <w:r>
        <w:rPr>
          <w:sz w:val="20"/>
          <w:szCs w:val="20"/>
        </w:rPr>
        <w:t xml:space="preserve">Is there an appetite for the historical backtest as an early deliverable? It is the strongest available evidence that the radar predicts rather than merely describes, and it needs to be scheduled rather than hoped for.</w:t>
      </w:r>
    </w:p>
    <w:p>
      <w:pPr>
        <w:pStyle w:val="ListParagraph"/>
        <w:numPr>
          <w:ilvl w:val="0"/>
          <w:numId w:val="7"/>
        </w:numPr>
        <w:spacing w:after="60" w:line="276"/>
      </w:pPr>
      <w:r>
        <w:rPr>
          <w:sz w:val="20"/>
          <w:szCs w:val="20"/>
        </w:rPr>
        <w:t xml:space="preserve">Are experts available to provide pairwise comparisons, and roughly how many people per role? This is the binding constraint on when a learned ranking model becomes possible.</w:t>
      </w:r>
    </w:p>
    <w:p>
      <w:r>
        <w:br w:type="page"/>
      </w:r>
    </w:p>
    <w:p>
      <w:pPr>
        <w:pStyle w:val="Heading1"/>
        <w:spacing w:after="160" w:before="360"/>
      </w:pPr>
      <w:r>
        <w:rPr>
          <w:b/>
          <w:bCs/>
          <w:color w:val="1A1A1A"/>
          <w:sz w:val="32"/>
          <w:szCs w:val="32"/>
        </w:rPr>
        <w:t xml:space="preserve">Appendix A — Free data source catalogue</w:t>
      </w:r>
    </w:p>
    <w:p>
      <w:pPr>
        <w:spacing w:after="120" w:line="276"/>
      </w:pPr>
      <w:r>
        <w:rPr>
          <w:i w:val="false"/>
          <w:iCs w:val="false"/>
          <w:sz w:val="20"/>
          <w:szCs w:val="20"/>
        </w:rPr>
        <w:t xml:space="preserve">Consolidated list of the free sources proposed in Section 4.3, with what each contributes to the radar. Access notes describe the mechanism, not a commitment: terms of use must be confirmed per source during Sprint 0, and several offer both a free tier and a paid tier.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1200"/>
        <w:gridCol w:w="3526"/>
        <w:gridCol w:w="1800"/>
      </w:tblGrid>
      <w:tr>
        <w:trPr>
          <w:cantSplit w:val="false"/>
          <w:tblHeader/>
        </w:trPr>
        <w:tc>
          <w:tcPr>
            <w:tcW w:type="dxa" w:w="2500"/>
            <w:shd w:fill="FFE8D6" w:color="auto" w:val="clear"/>
            <w:tcMar>
              <w:top w:type="dxa" w:w="60"/>
              <w:left w:type="dxa" w:w="90"/>
              <w:bottom w:type="dxa" w:w="60"/>
              <w:right w:type="dxa" w:w="90"/>
            </w:tcMar>
          </w:tcPr>
          <w:p>
            <w:pPr>
              <w:spacing w:after="40" w:before="40" w:line="250"/>
            </w:pPr>
            <w:r>
              <w:rPr>
                <w:b/>
                <w:bCs/>
                <w:i w:val="false"/>
                <w:iCs w:val="false"/>
                <w:color w:val="1A1A1A"/>
                <w:sz w:val="16"/>
                <w:szCs w:val="16"/>
              </w:rPr>
              <w:t xml:space="preserve">Source</w:t>
            </w:r>
          </w:p>
        </w:tc>
        <w:tc>
          <w:tcPr>
            <w:tcW w:type="dxa" w:w="1200"/>
            <w:shd w:fill="FFE8D6" w:color="auto" w:val="clear"/>
            <w:tcMar>
              <w:top w:type="dxa" w:w="60"/>
              <w:left w:type="dxa" w:w="90"/>
              <w:bottom w:type="dxa" w:w="60"/>
              <w:right w:type="dxa" w:w="90"/>
            </w:tcMar>
          </w:tcPr>
          <w:p>
            <w:pPr>
              <w:spacing w:after="40" w:before="40" w:line="250"/>
            </w:pPr>
            <w:r>
              <w:rPr>
                <w:b/>
                <w:bCs/>
                <w:i w:val="false"/>
                <w:iCs w:val="false"/>
                <w:color w:val="1A1A1A"/>
                <w:sz w:val="16"/>
                <w:szCs w:val="16"/>
              </w:rPr>
              <w:t xml:space="preserve">Category</w:t>
            </w:r>
          </w:p>
        </w:tc>
        <w:tc>
          <w:tcPr>
            <w:tcW w:type="dxa" w:w="3526"/>
            <w:shd w:fill="FFE8D6" w:color="auto" w:val="clear"/>
            <w:tcMar>
              <w:top w:type="dxa" w:w="60"/>
              <w:left w:type="dxa" w:w="90"/>
              <w:bottom w:type="dxa" w:w="60"/>
              <w:right w:type="dxa" w:w="90"/>
            </w:tcMar>
          </w:tcPr>
          <w:p>
            <w:pPr>
              <w:spacing w:after="40" w:before="40" w:line="250"/>
            </w:pPr>
            <w:r>
              <w:rPr>
                <w:b/>
                <w:bCs/>
                <w:i w:val="false"/>
                <w:iCs w:val="false"/>
                <w:color w:val="1A1A1A"/>
                <w:sz w:val="16"/>
                <w:szCs w:val="16"/>
              </w:rPr>
              <w:t xml:space="preserve">Contribution</w:t>
            </w:r>
          </w:p>
        </w:tc>
        <w:tc>
          <w:tcPr>
            <w:tcW w:type="dxa" w:w="1800"/>
            <w:shd w:fill="FFE8D6" w:color="auto" w:val="clear"/>
            <w:tcMar>
              <w:top w:type="dxa" w:w="60"/>
              <w:left w:type="dxa" w:w="90"/>
              <w:bottom w:type="dxa" w:w="60"/>
              <w:right w:type="dxa" w:w="90"/>
            </w:tcMar>
          </w:tcPr>
          <w:p>
            <w:pPr>
              <w:spacing w:after="40" w:before="40" w:line="250"/>
            </w:pPr>
            <w:r>
              <w:rPr>
                <w:b/>
                <w:bCs/>
                <w:i w:val="false"/>
                <w:iCs w:val="false"/>
                <w:color w:val="1A1A1A"/>
                <w:sz w:val="16"/>
                <w:szCs w:val="16"/>
              </w:rPr>
              <w:t xml:space="preserve">Access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GDELT Project</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Signals</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Global news events and themes, 100+ languages, 15-minute cadence; geography and tone</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Bulk files; BigQuery public dataset</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Google / Bing News RSS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Signals</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Targeted monitoring per query</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RSS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Company newsrooms and wires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Signals</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Proof signals, market moves, product launches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RSS / HTML</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Hacker News, Reddit, Stack Overflow</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Signals</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Practitioner attention; early technology adoption</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APIs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Analyst public pages and press releases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Signals</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summaries of paid research; citable</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EUR-Lex</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 legal acts with metadata, subject and dates</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 service; SPARQL over CELLAR</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EP Legislative Observatory (OEIL)</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Status of files in progress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EC "Have your say"</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Consultations and planned initiatives — earliest formal signal</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ENISA</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Threat landscape, foresight, sector guidance</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reports</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Arcep, BNetzA, Ofcom, ANSSI, BIPT</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National sector rules and security requirements</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 / RSS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NIST</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Regulation</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Standards timelines, post-quantum migration</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Web</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TED (Tenders Electronic Daily)</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Procurement</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 tender and award notices with CPV, authority, country, value</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Open licence; free API</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BOAMP, national e-procurement portals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Procurement</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Below-threshold national tenders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APIs / bulk</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Eurostat — ICT usage in enterprises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Adoption of cloud, AI, IoT, security by country, sector and size</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 / bulk</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Eurostat — Structural Business Statistics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Enterprise counts, turnover, value added by NACE and size class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 / bulk</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 Digital Decade / DESI</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Digital adoption per country against 2030 targets</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OECD Data Explorer</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Macro and sectoral series beyond the EU</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World Bank Open Data, IMF</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Macro, investment, country risk</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ITU DataHub</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Global telecom and connectivity indicators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IEA free datasets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Energy demand, efficiency, electrification</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SEC EDGAR full-text search</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Segment revenue and management commentary for triangulation</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INSEE, Destatis, Statbel, ONS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Market size</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Country-level sectoral granularity</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Google Patents Public Data</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Filing volume and assignee trends; Orange's own position</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BigQuery public dataset</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EPO Open Patent Services / PATSTAT</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European patent data</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tier / registration</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USPTO PatentsView</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US patent data with disambiguated assignees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OpenAlex</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Open scholarly graph: publication volume and velocity</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arXiv, Semantic Scholar</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Preprint and citation signals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APIs</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CORDIS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EU-funded research projects with budget, participants, dates</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bulk datasets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3GPP, ETSI, O-RAN, IETF, GSMA</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Release schedules and specification status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GitHub Archive; PyPI and npm statistics</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Developer adoption telemetry</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BigQuery public datasets</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CNCF, Stack Overflow, JetBrains surveys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Technology</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Annual adoption snapshots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reports</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EC Megatrends Hub; EU Strategic Foresight Report</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Structured megatrend framing for the Later horizon</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UN World Population Prospects; Eurostat demography</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Ageing, workforce, urbanisation projections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WEF Global Risks Report</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Executive risk agenda</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annual report</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ACLED</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Conflict and instability events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 with registration; check licence</w:t>
            </w:r>
          </w:p>
        </w:tc>
      </w:tr>
      <w:tr>
        <w:trPr>
          <w:cantSplit w:val="false"/>
          <w:tblHeader w:val="false"/>
        </w:trPr>
        <w:tc>
          <w:tcPr>
            <w:tcW w:type="dxa" w:w="25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EU Joint Research Centre</w:t>
            </w:r>
          </w:p>
        </w:tc>
        <w:tc>
          <w:tcPr>
            <w:tcW w:type="dxa" w:w="12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Sector-level technology and policy analysis</w:t>
            </w:r>
          </w:p>
        </w:tc>
        <w:tc>
          <w:tcPr>
            <w:tcW w:type="dxa" w:w="18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r>
        <w:trPr>
          <w:cantSplit w:val="false"/>
          <w:tblHeader w:val="false"/>
        </w:trPr>
        <w:tc>
          <w:tcPr>
            <w:tcW w:type="dxa" w:w="25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NATO, European Defence Agency public documents</w:t>
            </w:r>
          </w:p>
        </w:tc>
        <w:tc>
          <w:tcPr>
            <w:tcW w:type="dxa" w:w="12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Foresight</w:t>
            </w:r>
          </w:p>
        </w:tc>
        <w:tc>
          <w:tcPr>
            <w:tcW w:type="dxa" w:w="3526"/>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Defense capability priorities</w:t>
            </w:r>
          </w:p>
        </w:tc>
        <w:tc>
          <w:tcPr>
            <w:tcW w:type="dxa" w:w="1800"/>
            <w:tcMar>
              <w:top w:type="dxa" w:w="60"/>
              <w:left w:type="dxa" w:w="90"/>
              <w:bottom w:type="dxa" w:w="60"/>
              <w:right w:type="dxa" w:w="90"/>
            </w:tcMar>
          </w:tcPr>
          <w:p>
            <w:pPr>
              <w:spacing w:after="40" w:before="40" w:line="250"/>
            </w:pPr>
            <w:r>
              <w:rPr>
                <w:b w:val="false"/>
                <w:bCs w:val="false"/>
                <w:i w:val="false"/>
                <w:iCs w:val="false"/>
                <w:color w:val="1A1A1A"/>
                <w:sz w:val="16"/>
                <w:szCs w:val="16"/>
              </w:rPr>
              <w:t xml:space="preserve">Free</w:t>
            </w:r>
          </w:p>
        </w:tc>
      </w:tr>
    </w:tbl>
    <w:p>
      <w:pPr>
        <w:spacing w:after="200" w:before="60"/>
      </w:pPr>
      <w:r>
        <w:rPr>
          <w:i/>
          <w:iCs/>
          <w:color w:val="595959"/>
          <w:sz w:val="16"/>
          <w:szCs w:val="16"/>
        </w:rPr>
        <w:t xml:space="preserve">Table 37 — Consolidated free data source catalogue.</w:t>
      </w:r>
    </w:p>
    <w:p>
      <w:r>
        <w:br w:type="page"/>
      </w:r>
    </w:p>
    <w:p>
      <w:pPr>
        <w:pStyle w:val="Heading1"/>
        <w:spacing w:after="160" w:before="360"/>
      </w:pPr>
      <w:r>
        <w:rPr>
          <w:b/>
          <w:bCs/>
          <w:color w:val="1A1A1A"/>
          <w:sz w:val="32"/>
          <w:szCs w:val="32"/>
        </w:rPr>
        <w:t xml:space="preserve">Appendix B — Opportunity space schema</w:t>
      </w:r>
    </w:p>
    <w:p>
      <w:pPr>
        <w:spacing w:after="120" w:line="276"/>
      </w:pPr>
      <w:r>
        <w:rPr>
          <w:i w:val="false"/>
          <w:iCs w:val="false"/>
          <w:sz w:val="20"/>
          <w:szCs w:val="20"/>
        </w:rPr>
        <w:t xml:space="preserve">Illustrative structure of a stored opportunity space, showing how the requirements of Section 3 are carried in the data. The values are fictional and serve only to show shape. Note that every qualitative claim carries signal identifiers, every score carries its component breakdown and weight set version, and every record carries the pipeline and prompt version that produced it.</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"id": "OS001",</w:t>
      </w:r>
    </w:p>
    <w:p>
      <w:pPr>
        <w:shd w:fill="F5F5F5" w:color="auto" w:val="clear"/>
        <w:spacing w:after="0" w:line="240"/>
      </w:pPr>
      <w:r>
        <w:rPr>
          <w:rFonts w:ascii="Consolas" w:cs="Consolas" w:eastAsia="Consolas" w:hAnsi="Consolas"/>
          <w:sz w:val="16"/>
          <w:szCs w:val="16"/>
        </w:rPr>
        <w:t xml:space="preserve">  "version": 4,</w:t>
      </w:r>
    </w:p>
    <w:p>
      <w:pPr>
        <w:shd w:fill="F5F5F5" w:color="auto" w:val="clear"/>
        <w:spacing w:after="0" w:line="240"/>
      </w:pPr>
      <w:r>
        <w:rPr>
          <w:rFonts w:ascii="Consolas" w:cs="Consolas" w:eastAsia="Consolas" w:hAnsi="Consolas"/>
          <w:sz w:val="16"/>
          <w:szCs w:val="16"/>
        </w:rPr>
        <w:t xml:space="preserve">  "triple": {</w:t>
      </w:r>
    </w:p>
    <w:p>
      <w:pPr>
        <w:shd w:fill="F5F5F5" w:color="auto" w:val="clear"/>
        <w:spacing w:after="0" w:line="240"/>
      </w:pPr>
      <w:r>
        <w:rPr>
          <w:rFonts w:ascii="Consolas" w:cs="Consolas" w:eastAsia="Consolas" w:hAnsi="Consolas"/>
          <w:sz w:val="16"/>
          <w:szCs w:val="16"/>
        </w:rPr>
        <w:t xml:space="preserve">    "vertical": "manufacturing",</w:t>
      </w:r>
    </w:p>
    <w:p>
      <w:pPr>
        <w:shd w:fill="F5F5F5" w:color="auto" w:val="clear"/>
        <w:spacing w:after="0" w:line="240"/>
      </w:pPr>
      <w:r>
        <w:rPr>
          <w:rFonts w:ascii="Consolas" w:cs="Consolas" w:eastAsia="Consolas" w:hAnsi="Consolas"/>
          <w:sz w:val="16"/>
          <w:szCs w:val="16"/>
        </w:rPr>
        <w:t xml:space="preserve">    "use_case": "energy_optimization",</w:t>
      </w:r>
    </w:p>
    <w:p>
      <w:pPr>
        <w:shd w:fill="F5F5F5" w:color="auto" w:val="clear"/>
        <w:spacing w:after="0" w:line="240"/>
      </w:pPr>
      <w:r>
        <w:rPr>
          <w:rFonts w:ascii="Consolas" w:cs="Consolas" w:eastAsia="Consolas" w:hAnsi="Consolas"/>
          <w:sz w:val="16"/>
          <w:szCs w:val="16"/>
        </w:rPr>
        <w:t xml:space="preserve">    "technology": "computer_vision"</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"statement": "Edge computer vision for furnace energy optimisation",</w:t>
      </w:r>
    </w:p>
    <w:p>
      <w:pPr>
        <w:shd w:fill="F5F5F5" w:color="auto" w:val="clear"/>
        <w:spacing w:after="0" w:line="240"/>
      </w:pPr>
      <w:r>
        <w:rPr>
          <w:rFonts w:ascii="Consolas" w:cs="Consolas" w:eastAsia="Consolas" w:hAnsi="Consolas"/>
          <w:sz w:val="16"/>
          <w:szCs w:val="16"/>
        </w:rPr>
        <w:t xml:space="preserve">  "domains": ["ox_smart_industries"],</w:t>
      </w:r>
    </w:p>
    <w:p>
      <w:pPr>
        <w:shd w:fill="F5F5F5" w:color="auto" w:val="clear"/>
        <w:spacing w:after="0" w:line="240"/>
      </w:pPr>
      <w:r>
        <w:rPr>
          <w:rFonts w:ascii="Consolas" w:cs="Consolas" w:eastAsia="Consolas" w:hAnsi="Consolas"/>
          <w:sz w:val="16"/>
          <w:szCs w:val="16"/>
        </w:rPr>
        <w:t xml:space="preserve">  "personas": ["coo_production", "quality_manager"],</w:t>
      </w:r>
    </w:p>
    <w:p>
      <w:pPr>
        <w:shd w:fill="F5F5F5" w:color="auto" w:val="clear"/>
        <w:spacing w:after="0" w:line="240"/>
      </w:pPr>
      <w:r>
        <w:rPr>
          <w:rFonts w:ascii="Consolas" w:cs="Consolas" w:eastAsia="Consolas" w:hAnsi="Consolas"/>
          <w:sz w:val="16"/>
          <w:szCs w:val="16"/>
        </w:rPr>
        <w:t xml:space="preserve">  "geographies": ["EU", "FR", "DE"],</w:t>
      </w:r>
    </w:p>
    <w:p>
      <w:pPr>
        <w:shd w:fill="F5F5F5" w:color="auto" w:val="clear"/>
        <w:spacing w:after="0" w:line="240"/>
      </w:pPr>
      <w:r>
        <w:rPr>
          <w:rFonts w:ascii="Consolas" w:cs="Consolas" w:eastAsia="Consolas" w:hAnsi="Consolas"/>
          <w:sz w:val="16"/>
          <w:szCs w:val="16"/>
        </w:rPr>
        <w:t xml:space="preserve">  "state": "active",</w:t>
      </w:r>
    </w:p>
    <w:p>
      <w:pPr>
        <w:shd w:fill="F5F5F5" w:color="auto" w:val="clear"/>
        <w:spacing w:after="0" w:line="240"/>
      </w:pPr>
      <w:r>
        <w:rPr>
          <w:rFonts w:ascii="Consolas" w:cs="Consolas" w:eastAsia="Consolas" w:hAnsi="Consolas"/>
          <w:sz w:val="16"/>
          <w:szCs w:val="16"/>
        </w:rPr>
        <w:t xml:space="preserve">  "horizon": {</w:t>
      </w:r>
    </w:p>
    <w:p>
      <w:pPr>
        <w:shd w:fill="F5F5F5" w:color="auto" w:val="clear"/>
        <w:spacing w:after="0" w:line="240"/>
      </w:pPr>
      <w:r>
        <w:rPr>
          <w:rFonts w:ascii="Consolas" w:cs="Consolas" w:eastAsia="Consolas" w:hAnsi="Consolas"/>
          <w:sz w:val="16"/>
          <w:szCs w:val="16"/>
        </w:rPr>
        <w:t xml:space="preserve">    "value": "next",</w:t>
      </w:r>
    </w:p>
    <w:p>
      <w:pPr>
        <w:shd w:fill="F5F5F5" w:color="auto" w:val="clear"/>
        <w:spacing w:after="0" w:line="240"/>
      </w:pPr>
      <w:r>
        <w:rPr>
          <w:rFonts w:ascii="Consolas" w:cs="Consolas" w:eastAsia="Consolas" w:hAnsi="Consolas"/>
          <w:sz w:val="16"/>
          <w:szCs w:val="16"/>
        </w:rPr>
        <w:t xml:space="preserve">    "basis": "standard_frozen_no_volume_procurement",</w:t>
      </w:r>
    </w:p>
    <w:p>
      <w:pPr>
        <w:shd w:fill="F5F5F5" w:color="auto" w:val="clear"/>
        <w:spacing w:after="0" w:line="240"/>
      </w:pPr>
      <w:r>
        <w:rPr>
          <w:rFonts w:ascii="Consolas" w:cs="Consolas" w:eastAsia="Consolas" w:hAnsi="Consolas"/>
          <w:sz w:val="16"/>
          <w:szCs w:val="16"/>
        </w:rPr>
        <w:t xml:space="preserve">    "anchor_date": "2027-01-01"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"why_hot": [</w:t>
      </w:r>
    </w:p>
    <w:p>
      <w:pPr>
        <w:shd w:fill="F5F5F5" w:color="auto" w:val="clear"/>
        <w:spacing w:after="0" w:line="240"/>
      </w:pPr>
      <w:r>
        <w:rPr>
          <w:rFonts w:ascii="Consolas" w:cs="Consolas" w:eastAsia="Consolas" w:hAnsi="Consolas"/>
          <w:sz w:val="16"/>
          <w:szCs w:val="16"/>
        </w:rPr>
        <w:t xml:space="preserve">    { "claim": "Regulator mandates continuous emissions monitoring from 2027",</w:t>
      </w:r>
    </w:p>
    <w:p>
      <w:pPr>
        <w:shd w:fill="F5F5F5" w:color="auto" w:val="clear"/>
        <w:spacing w:after="0" w:line="240"/>
      </w:pPr>
      <w:r>
        <w:rPr>
          <w:rFonts w:ascii="Consolas" w:cs="Consolas" w:eastAsia="Consolas" w:hAnsi="Consolas"/>
          <w:sz w:val="16"/>
          <w:szCs w:val="16"/>
        </w:rPr>
        <w:t xml:space="preserve">      "signals": ["SIG-104928"] },</w:t>
      </w:r>
    </w:p>
    <w:p>
      <w:pPr>
        <w:shd w:fill="F5F5F5" w:color="auto" w:val="clear"/>
        <w:spacing w:after="0" w:line="240"/>
      </w:pPr>
      <w:r>
        <w:rPr>
          <w:rFonts w:ascii="Consolas" w:cs="Consolas" w:eastAsia="Consolas" w:hAnsi="Consolas"/>
          <w:sz w:val="16"/>
          <w:szCs w:val="16"/>
        </w:rPr>
        <w:t xml:space="preserve">    { "claim": "Three independent deployments published in the last quarter",</w:t>
      </w:r>
    </w:p>
    <w:p>
      <w:pPr>
        <w:shd w:fill="F5F5F5" w:color="auto" w:val="clear"/>
        <w:spacing w:after="0" w:line="240"/>
      </w:pPr>
      <w:r>
        <w:rPr>
          <w:rFonts w:ascii="Consolas" w:cs="Consolas" w:eastAsia="Consolas" w:hAnsi="Consolas"/>
          <w:sz w:val="16"/>
          <w:szCs w:val="16"/>
        </w:rPr>
        <w:t xml:space="preserve">      "signals": ["SIG-110233", "SIG-111902", "SIG-112774"]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"attractiveness": {</w:t>
      </w:r>
    </w:p>
    <w:p>
      <w:pPr>
        <w:shd w:fill="F5F5F5" w:color="auto" w:val="clear"/>
        <w:spacing w:after="0" w:line="240"/>
      </w:pPr>
      <w:r>
        <w:rPr>
          <w:rFonts w:ascii="Consolas" w:cs="Consolas" w:eastAsia="Consolas" w:hAnsi="Consolas"/>
          <w:sz w:val="16"/>
          <w:szCs w:val="16"/>
        </w:rPr>
        <w:t xml:space="preserve">    "score": 74,</w:t>
      </w:r>
    </w:p>
    <w:p>
      <w:pPr>
        <w:shd w:fill="F5F5F5" w:color="auto" w:val="clear"/>
        <w:spacing w:after="0" w:line="240"/>
      </w:pPr>
      <w:r>
        <w:rPr>
          <w:rFonts w:ascii="Consolas" w:cs="Consolas" w:eastAsia="Consolas" w:hAnsi="Consolas"/>
          <w:sz w:val="16"/>
          <w:szCs w:val="16"/>
        </w:rPr>
        <w:t xml:space="preserve">    "components": {</w:t>
      </w:r>
    </w:p>
    <w:p>
      <w:pPr>
        <w:shd w:fill="F5F5F5" w:color="auto" w:val="clear"/>
        <w:spacing w:after="0" w:line="240"/>
      </w:pPr>
      <w:r>
        <w:rPr>
          <w:rFonts w:ascii="Consolas" w:cs="Consolas" w:eastAsia="Consolas" w:hAnsi="Consolas"/>
          <w:sz w:val="16"/>
          <w:szCs w:val="16"/>
        </w:rPr>
        <w:t xml:space="preserve">      "market_signal_strength": 81,</w:t>
      </w:r>
    </w:p>
    <w:p>
      <w:pPr>
        <w:shd w:fill="F5F5F5" w:color="auto" w:val="clear"/>
        <w:spacing w:after="0" w:line="240"/>
      </w:pPr>
      <w:r>
        <w:rPr>
          <w:rFonts w:ascii="Consolas" w:cs="Consolas" w:eastAsia="Consolas" w:hAnsi="Consolas"/>
          <w:sz w:val="16"/>
          <w:szCs w:val="16"/>
        </w:rPr>
        <w:t xml:space="preserve">      "source_diversity": 66,</w:t>
      </w:r>
    </w:p>
    <w:p>
      <w:pPr>
        <w:shd w:fill="F5F5F5" w:color="auto" w:val="clear"/>
        <w:spacing w:after="0" w:line="240"/>
      </w:pPr>
      <w:r>
        <w:rPr>
          <w:rFonts w:ascii="Consolas" w:cs="Consolas" w:eastAsia="Consolas" w:hAnsi="Consolas"/>
          <w:sz w:val="16"/>
          <w:szCs w:val="16"/>
        </w:rPr>
        <w:t xml:space="preserve">      "evidence_quality": 78,</w:t>
      </w:r>
    </w:p>
    <w:p>
      <w:pPr>
        <w:shd w:fill="F5F5F5" w:color="auto" w:val="clear"/>
        <w:spacing w:after="0" w:line="240"/>
      </w:pPr>
      <w:r>
        <w:rPr>
          <w:rFonts w:ascii="Consolas" w:cs="Consolas" w:eastAsia="Consolas" w:hAnsi="Consolas"/>
          <w:sz w:val="16"/>
          <w:szCs w:val="16"/>
        </w:rPr>
        <w:t xml:space="preserve">      "novelty_momentum": 70,</w:t>
      </w:r>
    </w:p>
    <w:p>
      <w:pPr>
        <w:shd w:fill="F5F5F5" w:color="auto" w:val="clear"/>
        <w:spacing w:after="0" w:line="240"/>
      </w:pPr>
      <w:r>
        <w:rPr>
          <w:rFonts w:ascii="Consolas" w:cs="Consolas" w:eastAsia="Consolas" w:hAnsi="Consolas"/>
          <w:sz w:val="16"/>
          <w:szCs w:val="16"/>
        </w:rPr>
        <w:t xml:space="preserve">      "strategic_relevance": 65</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"weight_set": "w-2026-08-a"</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"right_to_win": {</w:t>
      </w:r>
    </w:p>
    <w:p>
      <w:pPr>
        <w:shd w:fill="F5F5F5" w:color="auto" w:val="clear"/>
        <w:spacing w:after="0" w:line="240"/>
      </w:pPr>
      <w:r>
        <w:rPr>
          <w:rFonts w:ascii="Consolas" w:cs="Consolas" w:eastAsia="Consolas" w:hAnsi="Consolas"/>
          <w:sz w:val="16"/>
          <w:szCs w:val="16"/>
        </w:rPr>
        <w:t xml:space="preserve">    "score": 58,</w:t>
      </w:r>
    </w:p>
    <w:p>
      <w:pPr>
        <w:shd w:fill="F5F5F5" w:color="auto" w:val="clear"/>
        <w:spacing w:after="0" w:line="240"/>
      </w:pPr>
      <w:r>
        <w:rPr>
          <w:rFonts w:ascii="Consolas" w:cs="Consolas" w:eastAsia="Consolas" w:hAnsi="Consolas"/>
          <w:sz w:val="16"/>
          <w:szCs w:val="16"/>
        </w:rPr>
        <w:t xml:space="preserve">    "offer_match": ["live_objects", "evolution_platform"],</w:t>
      </w:r>
    </w:p>
    <w:p>
      <w:pPr>
        <w:shd w:fill="F5F5F5" w:color="auto" w:val="clear"/>
        <w:spacing w:after="0" w:line="240"/>
      </w:pPr>
      <w:r>
        <w:rPr>
          <w:rFonts w:ascii="Consolas" w:cs="Consolas" w:eastAsia="Consolas" w:hAnsi="Consolas"/>
          <w:sz w:val="16"/>
          <w:szCs w:val="16"/>
        </w:rPr>
        <w:t xml:space="preserve">    "references": ["saint_gobain_glass"],</w:t>
      </w:r>
    </w:p>
    <w:p>
      <w:pPr>
        <w:shd w:fill="F5F5F5" w:color="auto" w:val="clear"/>
        <w:spacing w:after="0" w:line="240"/>
      </w:pPr>
      <w:r>
        <w:rPr>
          <w:rFonts w:ascii="Consolas" w:cs="Consolas" w:eastAsia="Consolas" w:hAnsi="Consolas"/>
          <w:sz w:val="16"/>
          <w:szCs w:val="16"/>
        </w:rPr>
        <w:t xml:space="preserve">    "reference_density": { "vertical": "manufacturing", "count": 27, "warning": false },</w:t>
      </w:r>
    </w:p>
    <w:p>
      <w:pPr>
        <w:shd w:fill="F5F5F5" w:color="auto" w:val="clear"/>
        <w:spacing w:after="0" w:line="240"/>
      </w:pPr>
      <w:r>
        <w:rPr>
          <w:rFonts w:ascii="Consolas" w:cs="Consolas" w:eastAsia="Consolas" w:hAnsi="Consolas"/>
          <w:sz w:val="16"/>
          <w:szCs w:val="16"/>
        </w:rPr>
        <w:t xml:space="preserve">    "partners": [{ "name": "NVIDIA", "tier": "registered" }],</w:t>
      </w:r>
    </w:p>
    <w:p>
      <w:pPr>
        <w:shd w:fill="F5F5F5" w:color="auto" w:val="clear"/>
        <w:spacing w:after="0" w:line="240"/>
      </w:pPr>
      <w:r>
        <w:rPr>
          <w:rFonts w:ascii="Consolas" w:cs="Consolas" w:eastAsia="Consolas" w:hAnsi="Consolas"/>
          <w:sz w:val="16"/>
          <w:szCs w:val="16"/>
        </w:rPr>
        <w:t xml:space="preserve">    "analyst_position": ["gartner_mq_private_5g_2026_leader"],</w:t>
      </w:r>
    </w:p>
    <w:p>
      <w:pPr>
        <w:shd w:fill="F5F5F5" w:color="auto" w:val="clear"/>
        <w:spacing w:after="0" w:line="240"/>
      </w:pPr>
      <w:r>
        <w:rPr>
          <w:rFonts w:ascii="Consolas" w:cs="Consolas" w:eastAsia="Consolas" w:hAnsi="Consolas"/>
          <w:sz w:val="16"/>
          <w:szCs w:val="16"/>
        </w:rPr>
        <w:t xml:space="preserve">    "certifications": ["iso_27001", "tisax"],</w:t>
      </w:r>
    </w:p>
    <w:p>
      <w:pPr>
        <w:shd w:fill="F5F5F5" w:color="auto" w:val="clear"/>
        <w:spacing w:after="0" w:line="240"/>
      </w:pPr>
      <w:r>
        <w:rPr>
          <w:rFonts w:ascii="Consolas" w:cs="Consolas" w:eastAsia="Consolas" w:hAnsi="Consolas"/>
          <w:sz w:val="16"/>
          <w:szCs w:val="16"/>
        </w:rPr>
        <w:t xml:space="preserve">    "capability": { "iot_experts": 400, "ai_data_cloud_experts": 7000 },</w:t>
      </w:r>
    </w:p>
    <w:p>
      <w:pPr>
        <w:shd w:fill="F5F5F5" w:color="auto" w:val="clear"/>
        <w:spacing w:after="0" w:line="240"/>
      </w:pPr>
      <w:r>
        <w:rPr>
          <w:rFonts w:ascii="Consolas" w:cs="Consolas" w:eastAsia="Consolas" w:hAnsi="Consolas"/>
          <w:sz w:val="16"/>
          <w:szCs w:val="16"/>
        </w:rPr>
        <w:t xml:space="preserve">    "evidence_gap": null</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"next_actions": {</w:t>
      </w:r>
    </w:p>
    <w:p>
      <w:pPr>
        <w:shd w:fill="F5F5F5" w:color="auto" w:val="clear"/>
        <w:spacing w:after="0" w:line="240"/>
      </w:pPr>
      <w:r>
        <w:rPr>
          <w:rFonts w:ascii="Consolas" w:cs="Consolas" w:eastAsia="Consolas" w:hAnsi="Consolas"/>
          <w:sz w:val="16"/>
          <w:szCs w:val="16"/>
        </w:rPr>
        <w:t xml:space="preserve">    "strategist": "...",</w:t>
      </w:r>
    </w:p>
    <w:p>
      <w:pPr>
        <w:shd w:fill="F5F5F5" w:color="auto" w:val="clear"/>
        <w:spacing w:after="0" w:line="240"/>
      </w:pPr>
      <w:r>
        <w:rPr>
          <w:rFonts w:ascii="Consolas" w:cs="Consolas" w:eastAsia="Consolas" w:hAnsi="Consolas"/>
          <w:sz w:val="16"/>
          <w:szCs w:val="16"/>
        </w:rPr>
        <w:t xml:space="preserve">    "sales": "...",</w:t>
      </w:r>
    </w:p>
    <w:p>
      <w:pPr>
        <w:shd w:fill="F5F5F5" w:color="auto" w:val="clear"/>
        <w:spacing w:after="0" w:line="240"/>
      </w:pPr>
      <w:r>
        <w:rPr>
          <w:rFonts w:ascii="Consolas" w:cs="Consolas" w:eastAsia="Consolas" w:hAnsi="Consolas"/>
          <w:sz w:val="16"/>
          <w:szCs w:val="16"/>
        </w:rPr>
        <w:t xml:space="preserve">    "presales":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"signals": ["SIG-104928", "SIG-110233", "SIG-111902", "SIG-112774"],</w:t>
      </w:r>
    </w:p>
    <w:p>
      <w:pPr>
        <w:shd w:fill="F5F5F5" w:color="auto" w:val="clear"/>
        <w:spacing w:after="0" w:line="240"/>
      </w:pPr>
      <w:r>
        <w:rPr>
          <w:rFonts w:ascii="Consolas" w:cs="Consolas" w:eastAsia="Consolas" w:hAnsi="Consolas"/>
          <w:sz w:val="16"/>
          <w:szCs w:val="16"/>
        </w:rPr>
        <w:t xml:space="preserve">  "provenance": {</w:t>
      </w:r>
    </w:p>
    <w:p>
      <w:pPr>
        <w:shd w:fill="F5F5F5" w:color="auto" w:val="clear"/>
        <w:spacing w:after="0" w:line="240"/>
      </w:pPr>
      <w:r>
        <w:rPr>
          <w:rFonts w:ascii="Consolas" w:cs="Consolas" w:eastAsia="Consolas" w:hAnsi="Consolas"/>
          <w:sz w:val="16"/>
          <w:szCs w:val="16"/>
        </w:rPr>
        <w:t xml:space="preserve">    "pipeline_version": "1.4.2",</w:t>
      </w:r>
    </w:p>
    <w:p>
      <w:pPr>
        <w:shd w:fill="F5F5F5" w:color="auto" w:val="clear"/>
        <w:spacing w:after="0" w:line="240"/>
      </w:pPr>
      <w:r>
        <w:rPr>
          <w:rFonts w:ascii="Consolas" w:cs="Consolas" w:eastAsia="Consolas" w:hAnsi="Consolas"/>
          <w:sz w:val="16"/>
          <w:szCs w:val="16"/>
        </w:rPr>
        <w:t xml:space="preserve">    "prompt_version": "synth-v7",</w:t>
      </w:r>
    </w:p>
    <w:p>
      <w:pPr>
        <w:shd w:fill="F5F5F5" w:color="auto" w:val="clear"/>
        <w:spacing w:after="0" w:line="240"/>
      </w:pPr>
      <w:r>
        <w:rPr>
          <w:rFonts w:ascii="Consolas" w:cs="Consolas" w:eastAsia="Consolas" w:hAnsi="Consolas"/>
          <w:sz w:val="16"/>
          <w:szCs w:val="16"/>
        </w:rPr>
        <w:t xml:space="preserve">    "first_seen": "2026-05-12",</w:t>
      </w:r>
    </w:p>
    <w:p>
      <w:pPr>
        <w:shd w:fill="F5F5F5" w:color="auto" w:val="clear"/>
        <w:spacing w:after="0" w:line="240"/>
      </w:pPr>
      <w:r>
        <w:rPr>
          <w:rFonts w:ascii="Consolas" w:cs="Consolas" w:eastAsia="Consolas" w:hAnsi="Consolas"/>
          <w:sz w:val="16"/>
          <w:szCs w:val="16"/>
        </w:rPr>
        <w:t xml:space="preserve">    "last_refresh": "2026-08-14"</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t>
      </w:r>
    </w:p>
    <w:p>
      <w:pPr>
        <w:spacing w:after="200"/>
      </w:pPr>
      <w:r>
        <w:rPr>
          <w:sz w:val="12"/>
          <w:szCs w:val="12"/>
        </w:rPr>
        <w:t xml:space="preserve"/>
      </w:r>
    </w:p>
    <w:p>
      <w:pPr>
        <w:spacing w:after="200" w:before="60"/>
      </w:pPr>
      <w:r>
        <w:rPr>
          <w:i/>
          <w:iCs/>
          <w:color w:val="595959"/>
          <w:sz w:val="16"/>
          <w:szCs w:val="16"/>
        </w:rPr>
        <w:t xml:space="preserve">Figure 1 — Illustrative opportunity space record.</w:t>
      </w:r>
    </w:p>
    <w:p>
      <w:pPr>
        <w:spacing w:after="120" w:line="276"/>
      </w:pPr>
      <w:r>
        <w:rPr>
          <w:i w:val="false"/>
          <w:iCs w:val="false"/>
          <w:sz w:val="20"/>
          <w:szCs w:val="20"/>
        </w:rPr>
        <w:t xml:space="preserve">The companion signal record is simpler: identifier, source, publisher, publication date, ingestion date, language, geography, URL, signal type, tier, extracted span, embedding reference, and the cluster it belongs to.</w:t>
      </w:r>
    </w:p>
    <w:p>
      <w:r>
        <w:br w:type="page"/>
      </w:r>
    </w:p>
    <w:p>
      <w:pPr>
        <w:pStyle w:val="Heading1"/>
        <w:spacing w:after="160" w:before="360"/>
      </w:pPr>
      <w:r>
        <w:rPr>
          <w:b/>
          <w:bCs/>
          <w:color w:val="1A1A1A"/>
          <w:sz w:val="32"/>
          <w:szCs w:val="32"/>
        </w:rPr>
        <w:t xml:space="preserve">Appendix C — Glossary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7026"/>
      </w:tblGrid>
      <w:tr>
        <w:trPr>
          <w:cantSplit w:val="false"/>
          <w:tblHeader/>
        </w:trPr>
        <w:tc>
          <w:tcPr>
            <w:tcW w:type="dxa" w:w="2000"/>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Term</w:t>
            </w:r>
          </w:p>
        </w:tc>
        <w:tc>
          <w:tcPr>
            <w:tcW w:type="dxa" w:w="7026"/>
            <w:shd w:fill="FFE8D6" w:color="auto" w:val="clear"/>
            <w:tcMar>
              <w:top w:type="dxa" w:w="60"/>
              <w:left w:type="dxa" w:w="90"/>
              <w:bottom w:type="dxa" w:w="60"/>
              <w:right w:type="dxa" w:w="90"/>
            </w:tcMar>
          </w:tcPr>
          <w:p>
            <w:pPr>
              <w:spacing w:after="40" w:before="40" w:line="250"/>
            </w:pPr>
            <w:r>
              <w:rPr>
                <w:b/>
                <w:bCs/>
                <w:i w:val="false"/>
                <w:iCs w:val="false"/>
                <w:color w:val="1A1A1A"/>
                <w:sz w:val="18"/>
                <w:szCs w:val="18"/>
              </w:rPr>
              <w:t xml:space="preserve">Definition</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Opportunity space</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specific innovation opportunity expressed as Vertical × Use Case × Technology, with a human-readable opportunity statement. Not a broad technology theme.</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dated, attributable piece of external evidence with a type, publisher, geography and source tier.</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Signal type</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One of: trend, regulation, buying signal, market move, technology maturity, proof signal.</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Attractiveness</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Composite score answering "should we bet on it": market signal strength, source diversity, evidence quality, novelty and momentum, strategic relevance.</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Right to win</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Separate assessment answering "can we play, can we win", computed from Orange assets: offers, references, partners, analyst positions, certifications, capability, patents.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Time horizon</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Now, Next or Later, derived where possible from regulatory dates, standards status and procurement activity.</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Watchlist</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Lifecycle state for topics with real but insufficient evidence to be published as active opportunity spaces.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Source tier</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Four-level credibility rating from authoritative (tier 1) to interested party (tier 4), used in evidence quality and diversity.</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Evidence binding</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rule that every generated claim must reference the signal identifiers that support it, enforced by automated validation.</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Role mode</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 per-persona preset combining a default ranking function, default filters and a primary action.</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Trust the future</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Orange's 2026–2030 strategic plan, structured around customer intimacy, innovative growth and excellence at scale.</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Specificity validation</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Automated check that a candidate resolves to exactly one vertical, one use case and one technology, and is therefore usable by sales.</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Orange Business Graph</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Curated graph of Orange's offers, references, partners, certifications, analyst positions, capabilities and research assets, with typed and sourced edges.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Crosswalk</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Versioned many-to-many mapping between an external classification scheme (NACE, CPV, CPC/IPC) and Orange's own vocabularies; the artefact that makes external data joinable.</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Link type (L0–L4)</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Classification of how an opportunity space connects to the portfolio: direct offer, bundle, partner-dependent, adjacent, or white space.</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Portfolio distance</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Shortest path in the business graph from an opportunity space to a configuration that could deliver it; determines which role the topic belongs to.</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White space</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An opportunity space with no plausible path from the current portfolio — the strategist's innovation agenda.</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Learning to rank</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Supervised approach that optimises the ordering of items rather than an absolute score, trained here on pairwise expert comparisons.</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Emergence forecasting</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Self-supervised prediction of whether a topic's signal will keep growing, trained by replaying historical archives; needs no human labels.</w:t>
            </w:r>
          </w:p>
        </w:tc>
      </w:tr>
      <w:tr>
        <w:trPr>
          <w:cantSplit w:val="false"/>
          <w:tblHeader w:val="false"/>
        </w:trPr>
        <w:tc>
          <w:tcPr>
            <w:tcW w:type="dxa" w:w="2000"/>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Temporal holdout</w:t>
            </w:r>
          </w:p>
        </w:tc>
        <w:tc>
          <w:tcPr>
            <w:tcW w:type="dxa" w:w="7026"/>
            <w:shd w:fill="F2F2F2" w:color="auto" w:val="clear"/>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Evaluation split by time rather than at random, required so that a model is not trained on data that postdates what it is asked to predict.</w:t>
            </w:r>
          </w:p>
        </w:tc>
      </w:tr>
      <w:tr>
        <w:trPr>
          <w:cantSplit w:val="false"/>
          <w:tblHeader w:val="false"/>
        </w:trPr>
        <w:tc>
          <w:tcPr>
            <w:tcW w:type="dxa" w:w="2000"/>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Exposure bias</w:t>
            </w:r>
          </w:p>
        </w:tc>
        <w:tc>
          <w:tcPr>
            <w:tcW w:type="dxa" w:w="7026"/>
            <w:tcMar>
              <w:top w:type="dxa" w:w="60"/>
              <w:left w:type="dxa" w:w="90"/>
              <w:bottom w:type="dxa" w:w="60"/>
              <w:right w:type="dxa" w:w="90"/>
            </w:tcMar>
          </w:tcPr>
          <w:p>
            <w:pPr>
              <w:spacing w:after="40" w:before="40" w:line="250"/>
            </w:pPr>
            <w:r>
              <w:rPr>
                <w:b w:val="false"/>
                <w:bCs w:val="false"/>
                <w:i w:val="false"/>
                <w:iCs w:val="false"/>
                <w:color w:val="1A1A1A"/>
                <w:sz w:val="18"/>
                <w:szCs w:val="18"/>
              </w:rPr>
              <w:t xml:space="preserve">The tendency of a ranking system to confirm itself, because highly ranked items receive more engagement and that engagement is read as evidence.</w:t>
            </w:r>
          </w:p>
        </w:tc>
      </w:tr>
    </w:tbl>
    <w:p>
      <w:pPr>
        <w:spacing w:after="200" w:before="60"/>
      </w:pPr>
      <w:r>
        <w:rPr>
          <w:i/>
          <w:iCs/>
          <w:color w:val="595959"/>
          <w:sz w:val="16"/>
          <w:szCs w:val="16"/>
        </w:rPr>
        <w:t xml:space="preserve">Table 38 — Glossary of terms used in this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Draft v0.1  ·  17 August 2026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120"/>
      <w:jc w:val="right"/>
    </w:pPr>
    <w:r>
      <w:rPr>
        <w:color w:val="808080"/>
        <w:sz w:val="16"/>
        <w:szCs w:val="16"/>
      </w:rPr>
      <w:t xml:space="preserve">Opportunity Spaces / Innovation Radar — Requirements and Approach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2"/>
      <w:szCs w:val="32"/>
    </w:rPr>
  </w:style>
  <w:style w:type="paragraph" w:styleId="Heading2">
    <w:name w:val="Heading 2"/>
    <w:basedOn w:val="Normal"/>
    <w:next w:val="Normal"/>
    <w:qFormat/>
    <w:rPr>
      <w:rFonts w:ascii="Calibri" w:cs="Calibri" w:eastAsia="Calibri" w:hAnsi="Calibri"/>
      <w:b/>
      <w:bCs/>
      <w:color w:val="FF7900"/>
      <w:sz w:val="26"/>
      <w:szCs w:val="26"/>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Spaces / Innovation Radar — Requirements and Approach</dc:title>
  <dc:creator>BeCode project team</dc:creator>
  <dc:description>Requirements specification and proposed approach for the Orange Business Innovation Radar</dc:description>
  <cp:lastModifiedBy>Un-named</cp:lastModifiedBy>
  <cp:revision>1</cp:revision>
  <dcterms:created xsi:type="dcterms:W3CDTF">2026-08-17T10:21:24.323Z</dcterms:created>
  <dcterms:modified xsi:type="dcterms:W3CDTF">2026-08-17T10:21:24.341Z</dcterms:modified>
</cp:coreProperties>
</file>

<file path=docProps/custom.xml><?xml version="1.0" encoding="utf-8"?>
<Properties xmlns="http://schemas.openxmlformats.org/officeDocument/2006/custom-properties" xmlns:vt="http://schemas.openxmlformats.org/officeDocument/2006/docPropsVTypes"/>
</file>