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CAAP 大修讨论材料</w:t>
      </w:r>
    </w:p>
    <w:p>
      <w:pPr>
        <w:jc w:val="center"/>
      </w:pPr>
      <w:r>
        <w:rPr>
          <w:rFonts w:ascii="Times New Roman" w:hAnsi="Times New Roman" w:eastAsia="PingFang SC"/>
          <w:b/>
          <w:color w:val="1F3B73"/>
          <w:sz w:val="22"/>
        </w:rPr>
        <w:t>审稿意见逐条对照 · 补充实验与规模 · 创新方向与最新相关工作</w:t>
      </w:r>
    </w:p>
    <w:p>
      <w:r>
        <w:br w:type="page"/>
      </w:r>
    </w:p>
    <w:p>
      <w:pPr>
        <w:pStyle w:val="Heading1"/>
      </w:pPr>
      <w:r>
        <w:t>会议速览</w:t>
      </w:r>
    </w:p>
    <w:p>
      <w:r>
        <w:rPr>
          <w:rFonts w:ascii="Times New Roman" w:hAnsi="Times New Roman" w:eastAsia="PingFang SC"/>
          <w:b/>
          <w:i w:val="0"/>
          <w:sz w:val="21"/>
        </w:rPr>
        <w:t>审稿意见逐条对照 · 补充实验与规模 · 创新方向与最新相关工作</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1F3B73"/>
          </w:tcPr>
          <w:p>
            <w:pPr>
              <w:spacing w:after="40"/>
            </w:pPr>
            <w:r>
              <w:rPr>
                <w:b/>
                <w:color w:val="FFFFFF"/>
              </w:rPr>
            </w:r>
            <w:r>
              <w:rPr>
                <w:rFonts w:ascii="Times New Roman" w:hAnsi="Times New Roman" w:eastAsia="PingFang SC"/>
                <w:b/>
                <w:i w:val="0"/>
                <w:color w:val="FFFFFF"/>
                <w:sz w:val="19"/>
              </w:rPr>
              <w:t>项目</w:t>
            </w:r>
          </w:p>
        </w:tc>
        <w:tc>
          <w:tcPr>
            <w:tcW w:type="dxa" w:w="4706"/>
            <w:shd w:val="clear" w:fill="1F3B73"/>
          </w:tcPr>
          <w:p>
            <w:pPr>
              <w:spacing w:after="40"/>
            </w:pPr>
            <w:r>
              <w:rPr>
                <w:b/>
                <w:color w:val="FFFFFF"/>
              </w:rPr>
            </w:r>
            <w:r>
              <w:rPr>
                <w:rFonts w:ascii="Times New Roman" w:hAnsi="Times New Roman" w:eastAsia="PingFang SC"/>
                <w:b/>
                <w:i w:val="0"/>
                <w:color w:val="FFFFFF"/>
                <w:sz w:val="19"/>
              </w:rPr>
              <w:t>说明</w:t>
            </w:r>
          </w:p>
        </w:tc>
      </w:tr>
      <w:tr>
        <w:tc>
          <w:tcPr>
            <w:tcW w:type="dxa" w:w="4706"/>
          </w:tcPr>
          <w:p>
            <w:pPr>
              <w:spacing w:after="40"/>
            </w:pPr>
            <w:r/>
            <w:r>
              <w:rPr>
                <w:rFonts w:ascii="Times New Roman" w:hAnsi="Times New Roman" w:eastAsia="PingFang SC"/>
                <w:b w:val="0"/>
                <w:i w:val="0"/>
                <w:sz w:val="19"/>
              </w:rPr>
              <w:t>论文</w:t>
            </w:r>
          </w:p>
        </w:tc>
        <w:tc>
          <w:tcPr>
            <w:tcW w:type="dxa" w:w="4706"/>
          </w:tcPr>
          <w:p>
            <w:pPr>
              <w:spacing w:after="40"/>
            </w:pPr>
            <w:r/>
            <w:r>
              <w:rPr>
                <w:rFonts w:ascii="Times New Roman" w:hAnsi="Times New Roman" w:eastAsia="PingFang SC"/>
                <w:b w:val="0"/>
                <w:i w:val="0"/>
                <w:sz w:val="19"/>
              </w:rPr>
              <w:t>*CAAP: Capture-Aware Adversarial Patch Attacks on Palmprint Recognition Models*</w:t>
            </w:r>
          </w:p>
        </w:tc>
      </w:tr>
      <w:tr>
        <w:tc>
          <w:tcPr>
            <w:tcW w:type="dxa" w:w="4706"/>
            <w:shd w:val="clear" w:fill="EEF3FA"/>
          </w:tcPr>
          <w:p>
            <w:pPr>
              <w:spacing w:after="40"/>
            </w:pPr>
            <w:r/>
            <w:r>
              <w:rPr>
                <w:rFonts w:ascii="Times New Roman" w:hAnsi="Times New Roman" w:eastAsia="PingFang SC"/>
                <w:b w:val="0"/>
                <w:i w:val="0"/>
                <w:sz w:val="19"/>
              </w:rPr>
              <w:t>稿号 / 决定</w:t>
            </w:r>
          </w:p>
        </w:tc>
        <w:tc>
          <w:tcPr>
            <w:tcW w:type="dxa" w:w="4706"/>
            <w:shd w:val="clear" w:fill="EEF3FA"/>
          </w:tcPr>
          <w:p>
            <w:pPr>
              <w:spacing w:after="40"/>
            </w:pPr>
            <w:r/>
            <w:r>
              <w:rPr>
                <w:rFonts w:ascii="Consolas" w:hAnsi="Consolas" w:eastAsia="PingFang SC"/>
                <w:b w:val="0"/>
                <w:i w:val="0"/>
                <w:color w:val="A31D1D"/>
                <w:sz w:val="18"/>
              </w:rPr>
              <w:t>T-IFS-26361-2026</w:t>
            </w:r>
            <w:r>
              <w:rPr>
                <w:rFonts w:ascii="Times New Roman" w:hAnsi="Times New Roman" w:eastAsia="PingFang SC"/>
                <w:b w:val="0"/>
                <w:i w:val="0"/>
                <w:sz w:val="19"/>
              </w:rPr>
              <w:t xml:space="preserve"> / </w:t>
            </w:r>
            <w:r>
              <w:rPr>
                <w:rFonts w:ascii="Times New Roman" w:hAnsi="Times New Roman" w:eastAsia="PingFang SC"/>
                <w:b/>
                <w:i w:val="0"/>
                <w:sz w:val="19"/>
              </w:rPr>
              <w:t>Major Revision（大修）</w:t>
            </w:r>
          </w:p>
        </w:tc>
      </w:tr>
      <w:tr>
        <w:tc>
          <w:tcPr>
            <w:tcW w:type="dxa" w:w="4706"/>
          </w:tcPr>
          <w:p>
            <w:pPr>
              <w:spacing w:after="40"/>
            </w:pPr>
            <w:r/>
            <w:r>
              <w:rPr>
                <w:rFonts w:ascii="Times New Roman" w:hAnsi="Times New Roman" w:eastAsia="PingFang SC"/>
                <w:b w:val="0"/>
                <w:i w:val="0"/>
                <w:sz w:val="19"/>
              </w:rPr>
              <w:t>材料日期</w:t>
            </w:r>
          </w:p>
        </w:tc>
        <w:tc>
          <w:tcPr>
            <w:tcW w:type="dxa" w:w="4706"/>
          </w:tcPr>
          <w:p>
            <w:pPr>
              <w:spacing w:after="40"/>
            </w:pPr>
            <w:r/>
            <w:r>
              <w:rPr>
                <w:rFonts w:ascii="Times New Roman" w:hAnsi="Times New Roman" w:eastAsia="PingFang SC"/>
                <w:b/>
                <w:i w:val="0"/>
                <w:sz w:val="19"/>
              </w:rPr>
              <w:t>2026-10-16</w:t>
            </w:r>
          </w:p>
        </w:tc>
      </w:tr>
      <w:tr>
        <w:tc>
          <w:tcPr>
            <w:tcW w:type="dxa" w:w="4706"/>
            <w:shd w:val="clear" w:fill="EEF3FA"/>
          </w:tcPr>
          <w:p>
            <w:pPr>
              <w:spacing w:after="40"/>
            </w:pPr>
            <w:r/>
            <w:r>
              <w:rPr>
                <w:rFonts w:ascii="Times New Roman" w:hAnsi="Times New Roman" w:eastAsia="PingFang SC"/>
                <w:b w:val="0"/>
                <w:i w:val="0"/>
                <w:sz w:val="19"/>
              </w:rPr>
              <w:t>使用方式</w:t>
            </w:r>
          </w:p>
        </w:tc>
        <w:tc>
          <w:tcPr>
            <w:tcW w:type="dxa" w:w="4706"/>
            <w:shd w:val="clear" w:fill="EEF3FA"/>
          </w:tcPr>
          <w:p>
            <w:pPr>
              <w:spacing w:after="40"/>
            </w:pPr>
            <w:r/>
            <w:r>
              <w:rPr>
                <w:rFonts w:ascii="Times New Roman" w:hAnsi="Times New Roman" w:eastAsia="PingFang SC"/>
                <w:b w:val="0"/>
                <w:i w:val="0"/>
                <w:sz w:val="19"/>
              </w:rPr>
              <w:t>会上先看本页、第二部分实验表和第三部分创新建议；第一部分用于逐条核对</w:t>
            </w:r>
          </w:p>
        </w:tc>
      </w:tr>
      <w:tr>
        <w:tc>
          <w:tcPr>
            <w:tcW w:type="dxa" w:w="4706"/>
          </w:tcPr>
          <w:p>
            <w:pPr>
              <w:spacing w:after="40"/>
            </w:pPr>
            <w:r/>
            <w:r>
              <w:rPr>
                <w:rFonts w:ascii="Times New Roman" w:hAnsi="Times New Roman" w:eastAsia="PingFang SC"/>
                <w:b w:val="0"/>
                <w:i w:val="0"/>
                <w:sz w:val="19"/>
              </w:rPr>
              <w:t>证据状态</w:t>
            </w:r>
          </w:p>
        </w:tc>
        <w:tc>
          <w:tcPr>
            <w:tcW w:type="dxa" w:w="4706"/>
          </w:tcPr>
          <w:p>
            <w:pPr>
              <w:spacing w:after="40"/>
            </w:pPr>
            <w:r/>
            <w:r>
              <w:rPr>
                <w:rFonts w:ascii="Times New Roman" w:hAnsi="Times New Roman" w:eastAsia="PingFang SC"/>
                <w:b/>
                <w:i w:val="0"/>
                <w:sz w:val="19"/>
              </w:rPr>
              <w:t>以下实验是拟议方案，不是已完成结果；规模为预算估算，正式执行前需冻结</w:t>
            </w:r>
          </w:p>
        </w:tc>
      </w:tr>
    </w:tbl>
    <w:p>
      <w:pPr>
        <w:spacing w:after="80"/>
      </w:pPr>
    </w:p>
    <w:p>
      <w:pPr>
        <w:pStyle w:val="EvidenceQuote"/>
      </w:pPr>
      <w:r>
        <w:rPr>
          <w:rFonts w:ascii="Times New Roman" w:hAnsi="Times New Roman" w:eastAsia="PingFang SC"/>
          <w:b/>
          <w:i/>
          <w:sz w:val="20"/>
        </w:rPr>
        <w:t>建议讨论主线：不是继续堆模块，而是证明“一张真正固定的补丁，在公平预算下，为什么影响掌纹、会造成哪一种风险、经过真实拍摄后还剩多少效果”。</w:t>
      </w:r>
    </w:p>
    <w:p>
      <w:pPr>
        <w:pStyle w:val="Heading2"/>
      </w:pPr>
      <w:r>
        <w:t>本次大修的三个核心问题</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1F3B73"/>
          </w:tcPr>
          <w:p>
            <w:pPr>
              <w:spacing w:after="40"/>
            </w:pPr>
            <w:r>
              <w:rPr>
                <w:b/>
                <w:color w:val="FFFFFF"/>
              </w:rPr>
            </w:r>
            <w:r>
              <w:rPr>
                <w:rFonts w:ascii="Times New Roman" w:hAnsi="Times New Roman" w:eastAsia="PingFang SC"/>
                <w:b/>
                <w:i w:val="0"/>
                <w:color w:val="FFFFFF"/>
                <w:sz w:val="19"/>
              </w:rPr>
              <w:t>核心问题</w:t>
            </w:r>
          </w:p>
        </w:tc>
        <w:tc>
          <w:tcPr>
            <w:tcW w:type="dxa" w:w="3137"/>
            <w:shd w:val="clear" w:fill="1F3B73"/>
          </w:tcPr>
          <w:p>
            <w:pPr>
              <w:spacing w:after="40"/>
            </w:pPr>
            <w:r>
              <w:rPr>
                <w:b/>
                <w:color w:val="FFFFFF"/>
              </w:rPr>
            </w:r>
            <w:r>
              <w:rPr>
                <w:rFonts w:ascii="Times New Roman" w:hAnsi="Times New Roman" w:eastAsia="PingFang SC"/>
                <w:b/>
                <w:i w:val="0"/>
                <w:color w:val="FFFFFF"/>
                <w:sz w:val="19"/>
              </w:rPr>
              <w:t>审稿人真正关心什么</w:t>
            </w:r>
          </w:p>
        </w:tc>
        <w:tc>
          <w:tcPr>
            <w:tcW w:type="dxa" w:w="3137"/>
            <w:shd w:val="clear" w:fill="1F3B73"/>
          </w:tcPr>
          <w:p>
            <w:pPr>
              <w:spacing w:after="40"/>
            </w:pPr>
            <w:r>
              <w:rPr>
                <w:b/>
                <w:color w:val="FFFFFF"/>
              </w:rPr>
            </w:r>
            <w:r>
              <w:rPr>
                <w:rFonts w:ascii="Times New Roman" w:hAnsi="Times New Roman" w:eastAsia="PingFang SC"/>
                <w:b/>
                <w:i w:val="0"/>
                <w:color w:val="FFFFFF"/>
                <w:sz w:val="19"/>
              </w:rPr>
              <w:t>我们需要拿出的证据</w:t>
            </w:r>
          </w:p>
        </w:tc>
      </w:tr>
      <w:tr>
        <w:tc>
          <w:tcPr>
            <w:tcW w:type="dxa" w:w="3137"/>
          </w:tcPr>
          <w:p>
            <w:pPr>
              <w:spacing w:after="40"/>
            </w:pPr>
            <w:r/>
            <w:r>
              <w:rPr>
                <w:rFonts w:ascii="Times New Roman" w:hAnsi="Times New Roman" w:eastAsia="PingFang SC"/>
                <w:b/>
                <w:i w:val="0"/>
                <w:sz w:val="19"/>
              </w:rPr>
              <w:t>数字结果能否代表固定印刷补丁？</w:t>
            </w:r>
          </w:p>
        </w:tc>
        <w:tc>
          <w:tcPr>
            <w:tcW w:type="dxa" w:w="3137"/>
          </w:tcPr>
          <w:p>
            <w:pPr>
              <w:spacing w:after="40"/>
            </w:pPr>
            <w:r/>
            <w:r>
              <w:rPr>
                <w:rFonts w:ascii="Times New Roman" w:hAnsi="Times New Roman" w:eastAsia="PingFang SC"/>
                <w:b w:val="0"/>
                <w:i w:val="0"/>
                <w:sz w:val="19"/>
              </w:rPr>
              <w:t>测试时读洁净图、移动和调亮补丁，是否给了攻击者额外能力</w:t>
            </w:r>
          </w:p>
        </w:tc>
        <w:tc>
          <w:tcPr>
            <w:tcW w:type="dxa" w:w="3137"/>
          </w:tcPr>
          <w:p>
            <w:pPr>
              <w:spacing w:after="40"/>
            </w:pPr>
            <w:r/>
            <w:r>
              <w:rPr>
                <w:rFonts w:ascii="Times New Roman" w:hAnsi="Times New Roman" w:eastAsia="PingFang SC"/>
                <w:b w:val="0"/>
                <w:i w:val="0"/>
                <w:sz w:val="19"/>
              </w:rPr>
              <w:t>固定部署主表；同一补丁的几何/光度分解；真实打印–拍摄</w:t>
            </w:r>
          </w:p>
        </w:tc>
      </w:tr>
      <w:tr>
        <w:tc>
          <w:tcPr>
            <w:tcW w:type="dxa" w:w="3137"/>
            <w:shd w:val="clear" w:fill="EEF3FA"/>
          </w:tcPr>
          <w:p>
            <w:pPr>
              <w:spacing w:after="40"/>
            </w:pPr>
            <w:r/>
            <w:r>
              <w:rPr>
                <w:rFonts w:ascii="Times New Roman" w:hAnsi="Times New Roman" w:eastAsia="PingFang SC"/>
                <w:b/>
                <w:i w:val="0"/>
                <w:sz w:val="19"/>
              </w:rPr>
              <w:t>高 ASR 是否代表真实认证风险？</w:t>
            </w:r>
          </w:p>
        </w:tc>
        <w:tc>
          <w:tcPr>
            <w:tcW w:type="dxa" w:w="3137"/>
            <w:shd w:val="clear" w:fill="EEF3FA"/>
          </w:tcPr>
          <w:p>
            <w:pPr>
              <w:spacing w:after="40"/>
            </w:pPr>
            <w:r/>
            <w:r>
              <w:rPr>
                <w:rFonts w:ascii="Times New Roman" w:hAnsi="Times New Roman" w:eastAsia="PingFang SC"/>
                <w:b w:val="0"/>
                <w:i w:val="0"/>
                <w:sz w:val="19"/>
              </w:rPr>
              <w:t>闭集分类、模板验证、20 次重试是否被混为一谈</w:t>
            </w:r>
          </w:p>
        </w:tc>
        <w:tc>
          <w:tcPr>
            <w:tcW w:type="dxa" w:w="3137"/>
            <w:shd w:val="clear" w:fill="EEF3FA"/>
          </w:tcPr>
          <w:p>
            <w:pPr>
              <w:spacing w:after="40"/>
            </w:pPr>
            <w:r/>
            <w:r>
              <w:rPr>
                <w:rFonts w:ascii="Times New Roman" w:hAnsi="Times New Roman" w:eastAsia="PingFang SC"/>
                <w:b w:val="0"/>
                <w:i w:val="0"/>
                <w:sz w:val="19"/>
              </w:rPr>
              <w:t>洁净准确率与分母；固定阈值验证；逐次实拍及每人分布</w:t>
            </w:r>
          </w:p>
        </w:tc>
      </w:tr>
      <w:tr>
        <w:tc>
          <w:tcPr>
            <w:tcW w:type="dxa" w:w="3137"/>
          </w:tcPr>
          <w:p>
            <w:pPr>
              <w:spacing w:after="40"/>
            </w:pPr>
            <w:r/>
            <w:r>
              <w:rPr>
                <w:rFonts w:ascii="Times New Roman" w:hAnsi="Times New Roman" w:eastAsia="PingFang SC"/>
                <w:b/>
                <w:i w:val="0"/>
                <w:sz w:val="19"/>
              </w:rPr>
              <w:t>创新是否超出已有工具组合？</w:t>
            </w:r>
          </w:p>
        </w:tc>
        <w:tc>
          <w:tcPr>
            <w:tcW w:type="dxa" w:w="3137"/>
          </w:tcPr>
          <w:p>
            <w:pPr>
              <w:spacing w:after="40"/>
            </w:pPr>
            <w:r/>
            <w:r>
              <w:rPr>
                <w:rFonts w:ascii="Times New Roman" w:hAnsi="Times New Roman" w:eastAsia="PingFang SC"/>
                <w:b w:val="0"/>
                <w:i w:val="0"/>
                <w:sz w:val="19"/>
              </w:rPr>
              <w:t>十字、空间变换、EOT、特征损失都已有先例</w:t>
            </w:r>
          </w:p>
        </w:tc>
        <w:tc>
          <w:tcPr>
            <w:tcW w:type="dxa" w:w="3137"/>
          </w:tcPr>
          <w:p>
            <w:pPr>
              <w:spacing w:after="40"/>
            </w:pPr>
            <w:r/>
            <w:r>
              <w:rPr>
                <w:rFonts w:ascii="Times New Roman" w:hAnsi="Times New Roman" w:eastAsia="PingFang SC"/>
                <w:b w:val="0"/>
                <w:i w:val="0"/>
                <w:sz w:val="19"/>
              </w:rPr>
              <w:t>等面积与等跨度控制；模块独立增益；掌纹特有机制与适用边界</w:t>
            </w:r>
          </w:p>
        </w:tc>
      </w:tr>
    </w:tbl>
    <w:p>
      <w:pPr>
        <w:spacing w:after="80"/>
      </w:pPr>
    </w:p>
    <w:p>
      <w:r>
        <w:rPr>
          <w:rFonts w:ascii="Times New Roman" w:hAnsi="Times New Roman" w:eastAsia="PingFang SC"/>
          <w:b/>
          <w:i w:val="0"/>
          <w:color w:val="1F3B73"/>
          <w:sz w:val="21"/>
        </w:rPr>
        <w:t>本次文献新增发现：</w:t>
      </w:r>
      <w:r>
        <w:rPr>
          <w:rFonts w:ascii="Times New Roman" w:hAnsi="Times New Roman" w:eastAsia="PingFang SC"/>
          <w:b w:val="0"/>
          <w:i w:val="0"/>
          <w:color w:val="1F3B73"/>
          <w:sz w:val="21"/>
        </w:rPr>
        <w:t xml:space="preserve"> CAP 已于 </w:t>
      </w:r>
      <w:r>
        <w:rPr>
          <w:rFonts w:ascii="Times New Roman" w:hAnsi="Times New Roman" w:eastAsia="PingFang SC"/>
          <w:b/>
          <w:i w:val="0"/>
          <w:color w:val="1F3B73"/>
          <w:sz w:val="21"/>
        </w:rPr>
        <w:t>2026-08-21</w:t>
      </w:r>
      <w:r>
        <w:rPr>
          <w:rFonts w:ascii="Times New Roman" w:hAnsi="Times New Roman" w:eastAsia="PingFang SC"/>
          <w:b w:val="0"/>
          <w:i w:val="0"/>
          <w:color w:val="1F3B73"/>
          <w:sz w:val="21"/>
        </w:rPr>
        <w:t xml:space="preserve"> 正式发表，直接研究掌纹物理彩色对抗补丁，摘要还报告了相似度阈值评价。它应进入返修相关工作和对照核验清单，不能再笼统写“掌纹物理补丁尚无人研究”。详见第三部分。[文献 1]</w:t>
      </w:r>
    </w:p>
    <w:p>
      <w:pPr>
        <w:pStyle w:val="Heading2"/>
      </w:pPr>
      <w:r>
        <w:t>简明术语</w:t>
      </w:r>
    </w:p>
    <w:p>
      <w:pPr>
        <w:pStyle w:val="EvidenceBullet"/>
      </w:pPr>
      <w:r>
        <w:rPr>
          <w:rFonts w:ascii="Times New Roman" w:hAnsi="Times New Roman" w:eastAsia="PingFang SC"/>
          <w:b w:val="0"/>
          <w:i w:val="0"/>
          <w:sz w:val="21"/>
        </w:rPr>
        <w:t xml:space="preserve">• </w:t>
      </w:r>
      <w:r>
        <w:rPr>
          <w:rFonts w:ascii="Times New Roman" w:hAnsi="Times New Roman" w:eastAsia="PingFang SC"/>
          <w:b/>
          <w:i w:val="0"/>
          <w:sz w:val="21"/>
        </w:rPr>
        <w:t>ROI</w:t>
      </w:r>
      <w:r>
        <w:rPr>
          <w:rFonts w:ascii="Times New Roman" w:hAnsi="Times New Roman" w:eastAsia="PingFang SC"/>
          <w:b w:val="0"/>
          <w:i w:val="0"/>
          <w:sz w:val="21"/>
        </w:rPr>
        <w:t>：感兴趣区域，本文主要是对齐后的灰度掌心图。</w:t>
      </w:r>
    </w:p>
    <w:p>
      <w:pPr>
        <w:pStyle w:val="EvidenceBullet"/>
      </w:pPr>
      <w:r>
        <w:rPr>
          <w:rFonts w:ascii="Times New Roman" w:hAnsi="Times New Roman" w:eastAsia="PingFang SC"/>
          <w:b w:val="0"/>
          <w:i w:val="0"/>
          <w:sz w:val="21"/>
        </w:rPr>
        <w:t xml:space="preserve">• </w:t>
      </w:r>
      <w:r>
        <w:rPr>
          <w:rFonts w:ascii="Times New Roman" w:hAnsi="Times New Roman" w:eastAsia="PingFang SC"/>
          <w:b/>
          <w:i w:val="0"/>
          <w:sz w:val="21"/>
        </w:rPr>
        <w:t>ASR</w:t>
      </w:r>
      <w:r>
        <w:rPr>
          <w:rFonts w:ascii="Times New Roman" w:hAnsi="Times New Roman" w:eastAsia="PingFang SC"/>
          <w:b w:val="0"/>
          <w:i w:val="0"/>
          <w:sz w:val="21"/>
        </w:rPr>
        <w:t>：攻击成功率；必须同时说明成功事件和有效样本分母。</w:t>
      </w:r>
    </w:p>
    <w:p>
      <w:pPr>
        <w:pStyle w:val="EvidenceBullet"/>
      </w:pPr>
      <w:r>
        <w:rPr>
          <w:rFonts w:ascii="Times New Roman" w:hAnsi="Times New Roman" w:eastAsia="PingFang SC"/>
          <w:b w:val="0"/>
          <w:i w:val="0"/>
          <w:sz w:val="21"/>
        </w:rPr>
        <w:t xml:space="preserve">• </w:t>
      </w:r>
      <w:r>
        <w:rPr>
          <w:rFonts w:ascii="Times New Roman" w:hAnsi="Times New Roman" w:eastAsia="PingFang SC"/>
          <w:b/>
          <w:i w:val="0"/>
          <w:sz w:val="21"/>
        </w:rPr>
        <w:t>EOT</w:t>
      </w:r>
      <w:r>
        <w:rPr>
          <w:rFonts w:ascii="Times New Roman" w:hAnsi="Times New Roman" w:eastAsia="PingFang SC"/>
          <w:b w:val="0"/>
          <w:i w:val="0"/>
          <w:sz w:val="21"/>
        </w:rPr>
        <w:t>：对变换取期望，在训练中采样拍摄变化；</w:t>
      </w:r>
      <w:r>
        <w:rPr>
          <w:rFonts w:ascii="Times New Roman" w:hAnsi="Times New Roman" w:eastAsia="PingFang SC"/>
          <w:b/>
          <w:i w:val="0"/>
          <w:sz w:val="21"/>
        </w:rPr>
        <w:t>RaS</w:t>
      </w:r>
      <w:r>
        <w:rPr>
          <w:rFonts w:ascii="Times New Roman" w:hAnsi="Times New Roman" w:eastAsia="PingFang SC"/>
          <w:b w:val="0"/>
          <w:i w:val="0"/>
          <w:sz w:val="21"/>
        </w:rPr>
        <w:t xml:space="preserve"> 是本项目的随机光度/噪声合成模块。</w:t>
      </w:r>
    </w:p>
    <w:p>
      <w:pPr>
        <w:pStyle w:val="EvidenceBullet"/>
      </w:pPr>
      <w:r>
        <w:rPr>
          <w:rFonts w:ascii="Times New Roman" w:hAnsi="Times New Roman" w:eastAsia="PingFang SC"/>
          <w:b w:val="0"/>
          <w:i w:val="0"/>
          <w:sz w:val="21"/>
        </w:rPr>
        <w:t xml:space="preserve">• </w:t>
      </w:r>
      <w:r>
        <w:rPr>
          <w:rFonts w:ascii="Times New Roman" w:hAnsi="Times New Roman" w:eastAsia="PingFang SC"/>
          <w:b/>
          <w:i w:val="0"/>
          <w:sz w:val="21"/>
        </w:rPr>
        <w:t>固定部署 / 条件渲染</w:t>
      </w:r>
      <w:r>
        <w:rPr>
          <w:rFonts w:ascii="Times New Roman" w:hAnsi="Times New Roman" w:eastAsia="PingFang SC"/>
          <w:b w:val="0"/>
          <w:i w:val="0"/>
          <w:sz w:val="21"/>
        </w:rPr>
        <w:t xml:space="preserve">：前者测试时不逐图调整补丁；后者由 </w:t>
      </w:r>
      <w:r>
        <w:rPr>
          <w:rFonts w:ascii="Times New Roman" w:hAnsi="Times New Roman" w:eastAsia="PingFang SC"/>
          <w:b/>
          <w:i w:val="0"/>
          <w:sz w:val="21"/>
        </w:rPr>
        <w:t>ASIT</w:t>
      </w:r>
      <w:r>
        <w:rPr>
          <w:rFonts w:ascii="Times New Roman" w:hAnsi="Times New Roman" w:eastAsia="PingFang SC"/>
          <w:b w:val="0"/>
          <w:i w:val="0"/>
          <w:sz w:val="21"/>
        </w:rPr>
        <w:t xml:space="preserve"> 读取当前 ROI 并预测变换。</w:t>
      </w:r>
    </w:p>
    <w:p>
      <w:pPr>
        <w:pStyle w:val="EvidenceBullet"/>
      </w:pPr>
      <w:r>
        <w:rPr>
          <w:rFonts w:ascii="Times New Roman" w:hAnsi="Times New Roman" w:eastAsia="PingFang SC"/>
          <w:b w:val="0"/>
          <w:i w:val="0"/>
          <w:sz w:val="21"/>
        </w:rPr>
        <w:t xml:space="preserve">• </w:t>
      </w:r>
      <w:r>
        <w:rPr>
          <w:rFonts w:ascii="Times New Roman" w:hAnsi="Times New Roman" w:eastAsia="PingFang SC"/>
          <w:b/>
          <w:i w:val="0"/>
          <w:sz w:val="21"/>
        </w:rPr>
        <w:t>MS-DIFE</w:t>
      </w:r>
      <w:r>
        <w:rPr>
          <w:rFonts w:ascii="Times New Roman" w:hAnsi="Times New Roman" w:eastAsia="PingFang SC"/>
          <w:b w:val="0"/>
          <w:i w:val="0"/>
          <w:sz w:val="21"/>
        </w:rPr>
        <w:t>：本项目的多尺度辅助特征提取器；名字本身不证明身份语义或“双不变性”。</w:t>
      </w:r>
    </w:p>
    <w:p>
      <w:pPr>
        <w:pStyle w:val="EvidenceBullet"/>
      </w:pPr>
      <w:r>
        <w:rPr>
          <w:rFonts w:ascii="Times New Roman" w:hAnsi="Times New Roman" w:eastAsia="PingFang SC"/>
          <w:b w:val="0"/>
          <w:i w:val="0"/>
          <w:sz w:val="21"/>
        </w:rPr>
        <w:t xml:space="preserve">• </w:t>
      </w:r>
      <w:r>
        <w:rPr>
          <w:rFonts w:ascii="Times New Roman" w:hAnsi="Times New Roman" w:eastAsia="PingFang SC"/>
          <w:b/>
          <w:i w:val="0"/>
          <w:sz w:val="21"/>
        </w:rPr>
        <w:t>FMR / FNMR</w:t>
      </w:r>
      <w:r>
        <w:rPr>
          <w:rFonts w:ascii="Times New Roman" w:hAnsi="Times New Roman" w:eastAsia="PingFang SC"/>
          <w:b w:val="0"/>
          <w:i w:val="0"/>
          <w:sz w:val="21"/>
        </w:rPr>
        <w:t>：非匹配对被错误接受 / 本人匹配对被错误拒绝；本文仅测比对器，不等于完整系统误接受/误拒绝。</w:t>
      </w:r>
    </w:p>
    <w:p>
      <w:pPr>
        <w:pStyle w:val="EvidenceBullet"/>
      </w:pPr>
      <w:r>
        <w:rPr>
          <w:rFonts w:ascii="Times New Roman" w:hAnsi="Times New Roman" w:eastAsia="PingFang SC"/>
          <w:b w:val="0"/>
          <w:i w:val="0"/>
          <w:sz w:val="21"/>
        </w:rPr>
        <w:t xml:space="preserve">• </w:t>
      </w:r>
      <w:r>
        <w:rPr>
          <w:rFonts w:ascii="Times New Roman" w:hAnsi="Times New Roman" w:eastAsia="PingFang SC"/>
          <w:b/>
          <w:i w:val="0"/>
          <w:sz w:val="21"/>
        </w:rPr>
        <w:t>ROC / DET</w:t>
      </w:r>
      <w:r>
        <w:rPr>
          <w:rFonts w:ascii="Times New Roman" w:hAnsi="Times New Roman" w:eastAsia="PingFang SC"/>
          <w:b w:val="0"/>
          <w:i w:val="0"/>
          <w:sz w:val="21"/>
        </w:rPr>
        <w:t>：展示不同阈值下错误率权衡的曲线；</w:t>
      </w:r>
      <w:r>
        <w:rPr>
          <w:rFonts w:ascii="Times New Roman" w:hAnsi="Times New Roman" w:eastAsia="PingFang SC"/>
          <w:b/>
          <w:i w:val="0"/>
          <w:sz w:val="21"/>
        </w:rPr>
        <w:t>CI</w:t>
      </w:r>
      <w:r>
        <w:rPr>
          <w:rFonts w:ascii="Times New Roman" w:hAnsi="Times New Roman" w:eastAsia="PingFang SC"/>
          <w:b w:val="0"/>
          <w:i w:val="0"/>
          <w:sz w:val="21"/>
        </w:rPr>
        <w:t xml:space="preserve"> 为置信区间。</w:t>
      </w:r>
    </w:p>
    <w:p>
      <w:r>
        <w:br w:type="page"/>
      </w:r>
    </w:p>
    <w:p>
      <w:pPr>
        <w:pStyle w:val="Heading1"/>
      </w:pPr>
      <w:r>
        <w:t>一、审稿意见：英文原文、中文翻译与回答思路</w:t>
      </w:r>
    </w:p>
    <w:p>
      <w:r>
        <w:rPr>
          <w:rFonts w:ascii="Times New Roman" w:hAnsi="Times New Roman" w:eastAsia="PingFang SC"/>
          <w:b/>
          <w:i w:val="0"/>
          <w:sz w:val="21"/>
        </w:rPr>
        <w:t>来源：</w:t>
      </w:r>
      <w:r>
        <w:rPr>
          <w:rFonts w:ascii="Times New Roman" w:hAnsi="Times New Roman" w:eastAsia="PingFang SC"/>
          <w:b w:val="0"/>
          <w:i w:val="0"/>
          <w:sz w:val="21"/>
        </w:rPr>
        <w:t xml:space="preserve"> </w:t>
      </w:r>
      <w:r>
        <w:rPr>
          <w:rFonts w:ascii="Times New Roman" w:hAnsi="Times New Roman" w:eastAsia="PingFang SC"/>
          <w:b w:val="0"/>
          <w:i w:val="0"/>
          <w:sz w:val="21"/>
        </w:rPr>
        <w:t>原始审稿信</w:t>
      </w:r>
      <w:r>
        <w:rPr>
          <w:rFonts w:ascii="Times New Roman" w:hAnsi="Times New Roman" w:eastAsia="PingFang SC"/>
          <w:b w:val="0"/>
          <w:i w:val="0"/>
          <w:sz w:val="21"/>
        </w:rPr>
        <w:t xml:space="preserve">。以下包含副编辑意见和全部 </w:t>
      </w:r>
      <w:r>
        <w:rPr>
          <w:rFonts w:ascii="Times New Roman" w:hAnsi="Times New Roman" w:eastAsia="PingFang SC"/>
          <w:b/>
          <w:i w:val="0"/>
          <w:sz w:val="21"/>
        </w:rPr>
        <w:t>16 条编号意见</w:t>
      </w:r>
      <w:r>
        <w:rPr>
          <w:rFonts w:ascii="Times New Roman" w:hAnsi="Times New Roman" w:eastAsia="PingFang SC"/>
          <w:b w:val="0"/>
          <w:i w:val="0"/>
          <w:sz w:val="21"/>
        </w:rPr>
        <w:t>；不重复邮件信息、审稿系统问卷和审稿人开场概述。</w:t>
      </w:r>
    </w:p>
    <w:p>
      <w:r>
        <w:rPr>
          <w:rFonts w:ascii="Times New Roman" w:hAnsi="Times New Roman" w:eastAsia="PingFang SC"/>
          <w:b w:val="0"/>
          <w:i w:val="0"/>
          <w:sz w:val="21"/>
        </w:rPr>
        <w:t>英文仅合并 PDF 的排版换行，保留原始措辞、语法和公式编号。回答思路均为拟实施动作，不表示已经补完实验。</w:t>
      </w:r>
    </w:p>
    <w:p>
      <w:pPr>
        <w:pStyle w:val="Heading2"/>
      </w:pPr>
      <w:r>
        <w:t>副编辑｜三个问题必须形成一条证据链</w:t>
      </w:r>
    </w:p>
    <w:p>
      <w:r>
        <w:rPr>
          <w:rFonts w:ascii="Times New Roman" w:hAnsi="Times New Roman" w:eastAsia="PingFang SC"/>
          <w:b/>
          <w:i w:val="0"/>
          <w:sz w:val="21"/>
        </w:rPr>
        <w:t>英文原文</w:t>
      </w:r>
      <w:r>
        <w:rPr>
          <w:rFonts w:ascii="Times New Roman" w:hAnsi="Times New Roman" w:eastAsia="PingFang SC"/>
          <w:b w:val="0"/>
          <w:i w:val="0"/>
          <w:sz w:val="21"/>
        </w:rPr>
        <w:t xml:space="preserve"> · 审稿信第 1 页</w:t>
      </w:r>
    </w:p>
    <w:p>
      <w:pPr>
        <w:pStyle w:val="EvidenceQuote"/>
      </w:pPr>
      <w:r>
        <w:rPr>
          <w:rFonts w:ascii="Times New Roman" w:hAnsi="Times New Roman" w:eastAsia="PingFang SC"/>
          <w:b w:val="0"/>
          <w:i/>
          <w:sz w:val="20"/>
        </w:rPr>
        <w:t>The manuscript addresses a relevant biometric security problem and presents promising digital results. However, substantial clarification and additional experimental validation are needed to support the claims of physically realizable attacks. Please address all reviewer comments, with particular attention to the consistency between input-conditioned rendering and physical deployment, the adequacy of the physical evaluation, and the clarity of the biometric evaluation protocol.</w:t>
      </w:r>
    </w:p>
    <w:p>
      <w:r>
        <w:rPr>
          <w:rFonts w:ascii="Times New Roman" w:hAnsi="Times New Roman" w:eastAsia="PingFang SC"/>
          <w:b/>
          <w:i w:val="0"/>
          <w:sz w:val="21"/>
        </w:rPr>
        <w:t>中文翻译</w:t>
      </w:r>
    </w:p>
    <w:p>
      <w:r>
        <w:rPr>
          <w:rFonts w:ascii="Times New Roman" w:hAnsi="Times New Roman" w:eastAsia="PingFang SC"/>
          <w:b w:val="0"/>
          <w:i w:val="0"/>
          <w:sz w:val="21"/>
        </w:rPr>
        <w:t>稿件研究了一个相关的生物特征安全问题，并给出了有希望的数字实验结果。但是，要支撑物理可实现攻击的主张，还需要实质性澄清和额外实验验证。请回应所有审稿意见，尤其关注：输入条件渲染与物理部署的一致性、物理评估是否充分，以及生物特征评估协议是否清晰。</w:t>
      </w:r>
    </w:p>
    <w:p>
      <w:r>
        <w:rPr>
          <w:rFonts w:ascii="Times New Roman" w:hAnsi="Times New Roman" w:eastAsia="PingFang SC"/>
          <w:b/>
          <w:i w:val="0"/>
          <w:sz w:val="21"/>
        </w:rPr>
        <w:t>简要回答思路</w:t>
      </w:r>
    </w:p>
    <w:p>
      <w:r>
        <w:rPr>
          <w:rFonts w:ascii="Times New Roman" w:hAnsi="Times New Roman" w:eastAsia="PingFang SC"/>
          <w:b w:val="0"/>
          <w:i w:val="0"/>
          <w:sz w:val="21"/>
        </w:rPr>
        <w:t>以“</w:t>
      </w:r>
      <w:r>
        <w:rPr>
          <w:rFonts w:ascii="Times New Roman" w:hAnsi="Times New Roman" w:eastAsia="PingFang SC"/>
          <w:b/>
          <w:i w:val="0"/>
          <w:sz w:val="21"/>
        </w:rPr>
        <w:t>固定部署 → 分类/验证协议 → 逐次实拍</w:t>
      </w:r>
      <w:r>
        <w:rPr>
          <w:rFonts w:ascii="Times New Roman" w:hAnsi="Times New Roman" w:eastAsia="PingFang SC"/>
          <w:b w:val="0"/>
          <w:i w:val="0"/>
          <w:sz w:val="21"/>
        </w:rPr>
        <w:t xml:space="preserve">”组织返修证据；主数字只用固定部署结果，条件渲染作诊断，物理结论限定在实际测过的条件。对应实验 </w:t>
      </w:r>
      <w:r>
        <w:rPr>
          <w:rFonts w:ascii="Times New Roman" w:hAnsi="Times New Roman" w:eastAsia="PingFang SC"/>
          <w:b/>
          <w:i w:val="0"/>
          <w:sz w:val="21"/>
        </w:rPr>
        <w:t>E01–E04、E11</w:t>
      </w:r>
      <w:r>
        <w:rPr>
          <w:rFonts w:ascii="Times New Roman" w:hAnsi="Times New Roman" w:eastAsia="PingFang SC"/>
          <w:b w:val="0"/>
          <w:i w:val="0"/>
          <w:sz w:val="21"/>
        </w:rPr>
        <w:t>。</w:t>
      </w:r>
    </w:p>
    <w:p>
      <w:pPr>
        <w:pStyle w:val="Heading2"/>
      </w:pPr>
      <w:r>
        <w:t>Reviewer 1｜创新归属与方法说明</w:t>
      </w:r>
    </w:p>
    <w:p>
      <w:pPr>
        <w:pStyle w:val="Heading3"/>
      </w:pPr>
      <w:r>
        <w:t>R1-1｜十字补丁不是原创</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3 页</w:t>
      </w:r>
    </w:p>
    <w:p>
      <w:pPr>
        <w:pStyle w:val="EvidenceQuote"/>
      </w:pPr>
      <w:r>
        <w:rPr>
          <w:rFonts w:ascii="Times New Roman" w:hAnsi="Times New Roman" w:eastAsia="PingFang SC"/>
          <w:b w:val="0"/>
          <w:i/>
          <w:sz w:val="20"/>
        </w:rPr>
        <w:t>The core novelty is limited. The cross-shaped patch topology is not original to this work, it was proposed by Ran et al. (TCSVT 2024), and the paper simply adopts it for the palmprint domain.</w:t>
      </w:r>
    </w:p>
    <w:p>
      <w:r>
        <w:rPr>
          <w:rFonts w:ascii="Times New Roman" w:hAnsi="Times New Roman" w:eastAsia="PingFang SC"/>
          <w:b/>
          <w:i w:val="0"/>
          <w:sz w:val="21"/>
        </w:rPr>
        <w:t>中文翻译</w:t>
      </w:r>
    </w:p>
    <w:p>
      <w:r>
        <w:rPr>
          <w:rFonts w:ascii="Times New Roman" w:hAnsi="Times New Roman" w:eastAsia="PingFang SC"/>
          <w:b w:val="0"/>
          <w:i w:val="0"/>
          <w:sz w:val="21"/>
        </w:rPr>
        <w:t>核心新颖性有限。十字形补丁拓扑并非本文原创，而是由 Ran 等人在 TCSVT 2024 中提出；本文只是将它用于掌纹领域。</w:t>
      </w:r>
    </w:p>
    <w:p>
      <w:r>
        <w:rPr>
          <w:rFonts w:ascii="Times New Roman" w:hAnsi="Times New Roman" w:eastAsia="PingFang SC"/>
          <w:b/>
          <w:i w:val="0"/>
          <w:sz w:val="21"/>
        </w:rPr>
        <w:t>简要回答思路</w:t>
      </w:r>
    </w:p>
    <w:p>
      <w:r>
        <w:rPr>
          <w:rFonts w:ascii="Times New Roman" w:hAnsi="Times New Roman" w:eastAsia="PingFang SC"/>
          <w:b w:val="0"/>
          <w:i w:val="0"/>
          <w:sz w:val="21"/>
        </w:rPr>
        <w:t>明确引用并承认形状来源；不再把“十字”列为发明。将问题改为：</w:t>
      </w:r>
      <w:r>
        <w:rPr>
          <w:rFonts w:ascii="Times New Roman" w:hAnsi="Times New Roman" w:eastAsia="PingFang SC"/>
          <w:b/>
          <w:i w:val="0"/>
          <w:sz w:val="21"/>
        </w:rPr>
        <w:t>等面积后，空间跨度和掌纹线结构覆盖能否解释效果差异？</w:t>
      </w:r>
      <w:r>
        <w:rPr>
          <w:rFonts w:ascii="Times New Roman" w:hAnsi="Times New Roman" w:eastAsia="PingFang SC"/>
          <w:b w:val="0"/>
          <w:i w:val="0"/>
          <w:sz w:val="21"/>
        </w:rPr>
        <w:t xml:space="preserve"> 用 </w:t>
      </w:r>
      <w:r>
        <w:rPr>
          <w:rFonts w:ascii="Times New Roman" w:hAnsi="Times New Roman" w:eastAsia="PingFang SC"/>
          <w:b/>
          <w:i w:val="0"/>
          <w:sz w:val="21"/>
        </w:rPr>
        <w:t>E06</w:t>
      </w:r>
      <w:r>
        <w:rPr>
          <w:rFonts w:ascii="Times New Roman" w:hAnsi="Times New Roman" w:eastAsia="PingFang SC"/>
          <w:b w:val="0"/>
          <w:i w:val="0"/>
          <w:sz w:val="21"/>
        </w:rPr>
        <w:t xml:space="preserve"> 回答，不预设十字一定更好。</w:t>
      </w:r>
    </w:p>
    <w:p>
      <w:pPr>
        <w:pStyle w:val="Heading3"/>
      </w:pPr>
      <w:r>
        <w:t>R1-2｜三个模块更像设计组合</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3 页</w:t>
      </w:r>
    </w:p>
    <w:p>
      <w:pPr>
        <w:pStyle w:val="EvidenceQuote"/>
      </w:pPr>
      <w:r>
        <w:rPr>
          <w:rFonts w:ascii="Times New Roman" w:hAnsi="Times New Roman" w:eastAsia="PingFang SC"/>
          <w:b w:val="0"/>
          <w:i/>
          <w:sz w:val="20"/>
        </w:rPr>
        <w:t>The main contributions (ASIT, RaS, MS-DIFE) are design choices rather than fundamental methodological breakthroughs.</w:t>
      </w:r>
    </w:p>
    <w:p>
      <w:r>
        <w:rPr>
          <w:rFonts w:ascii="Times New Roman" w:hAnsi="Times New Roman" w:eastAsia="PingFang SC"/>
          <w:b/>
          <w:i w:val="0"/>
          <w:sz w:val="21"/>
        </w:rPr>
        <w:t>中文翻译</w:t>
      </w:r>
    </w:p>
    <w:p>
      <w:r>
        <w:rPr>
          <w:rFonts w:ascii="Times New Roman" w:hAnsi="Times New Roman" w:eastAsia="PingFang SC"/>
          <w:b w:val="0"/>
          <w:i w:val="0"/>
          <w:sz w:val="21"/>
        </w:rPr>
        <w:t>主要贡献（ASIT、RaS、MS-DIFE）属于设计选择，而不是根本性的方法突破。</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承认通用技术已有先例，将贡献集中到掌纹问题和可验证的发现；用 </w:t>
      </w:r>
      <w:r>
        <w:rPr>
          <w:rFonts w:ascii="Times New Roman" w:hAnsi="Times New Roman" w:eastAsia="PingFang SC"/>
          <w:b/>
          <w:i w:val="0"/>
          <w:sz w:val="21"/>
        </w:rPr>
        <w:t>E03、E05–E07</w:t>
      </w:r>
      <w:r>
        <w:rPr>
          <w:rFonts w:ascii="Times New Roman" w:hAnsi="Times New Roman" w:eastAsia="PingFang SC"/>
          <w:b w:val="0"/>
          <w:i w:val="0"/>
          <w:sz w:val="21"/>
        </w:rPr>
        <w:t xml:space="preserve"> 检验训练/测试作用及独立增益。没有稳定收益的模块降为辅助项，不再声称“缺一不可”。</w:t>
      </w:r>
    </w:p>
    <w:p>
      <w:pPr>
        <w:pStyle w:val="Heading3"/>
      </w:pPr>
      <w:r>
        <w:t>R1-3｜可学习参数 φ 没解释清楚</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3 页</w:t>
      </w:r>
    </w:p>
    <w:p>
      <w:pPr>
        <w:pStyle w:val="EvidenceQuote"/>
      </w:pPr>
      <w:r>
        <w:rPr>
          <w:rFonts w:ascii="Times New Roman" w:hAnsi="Times New Roman" w:eastAsia="PingFang SC"/>
          <w:b w:val="0"/>
          <w:i/>
          <w:sz w:val="20"/>
        </w:rPr>
        <w:t>In Eq.(4) of Section IV.C, the authors claimed that \phi is a learnable parameter. However, they does not indicate its specific value.</w:t>
      </w:r>
    </w:p>
    <w:p>
      <w:r>
        <w:rPr>
          <w:rFonts w:ascii="Times New Roman" w:hAnsi="Times New Roman" w:eastAsia="PingFang SC"/>
          <w:b/>
          <w:i w:val="0"/>
          <w:sz w:val="21"/>
        </w:rPr>
        <w:t>中文翻译</w:t>
      </w:r>
    </w:p>
    <w:p>
      <w:r>
        <w:rPr>
          <w:rFonts w:ascii="Times New Roman" w:hAnsi="Times New Roman" w:eastAsia="PingFang SC"/>
          <w:b w:val="0"/>
          <w:i w:val="0"/>
          <w:sz w:val="21"/>
        </w:rPr>
        <w:t>在第四节 C 的式（4）中，作者称 φ 是可学习参数，但没有说明其具体取值。</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解释 φ 是 </w:t>
      </w:r>
      <w:r>
        <w:rPr>
          <w:rFonts w:ascii="Times New Roman" w:hAnsi="Times New Roman" w:eastAsia="PingFang SC"/>
          <w:b/>
          <w:i w:val="0"/>
          <w:sz w:val="21"/>
        </w:rPr>
        <w:t>ASIT 的网络权重集合</w:t>
      </w:r>
      <w:r>
        <w:rPr>
          <w:rFonts w:ascii="Times New Roman" w:hAnsi="Times New Roman" w:eastAsia="PingFang SC"/>
          <w:b w:val="0"/>
          <w:i w:val="0"/>
          <w:sz w:val="21"/>
        </w:rPr>
        <w:t>，不是一个固定超参数；补结构表、参数量、初始化及输出范围，不编造一个“代表性最终数值”。这是写作与结构导出任务，不需要新增大规模训练。</w:t>
      </w:r>
    </w:p>
    <w:p>
      <w:pPr>
        <w:pStyle w:val="Heading3"/>
      </w:pPr>
      <w:r>
        <w:t>R1-4｜c、b 是什么，怎样选择？</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3 页</w:t>
      </w:r>
    </w:p>
    <w:p>
      <w:pPr>
        <w:pStyle w:val="EvidenceQuote"/>
      </w:pPr>
      <w:r>
        <w:rPr>
          <w:rFonts w:ascii="Times New Roman" w:hAnsi="Times New Roman" w:eastAsia="PingFang SC"/>
          <w:b w:val="0"/>
          <w:i/>
          <w:sz w:val="20"/>
        </w:rPr>
        <w:t>In Eq.(7), what do c and b stand for? Are they learnable? If so, what are the final parameters? The author should state how to select these two parameters.</w:t>
      </w:r>
    </w:p>
    <w:p>
      <w:r>
        <w:rPr>
          <w:rFonts w:ascii="Times New Roman" w:hAnsi="Times New Roman" w:eastAsia="PingFang SC"/>
          <w:b/>
          <w:i w:val="0"/>
          <w:sz w:val="21"/>
        </w:rPr>
        <w:t>中文翻译</w:t>
      </w:r>
    </w:p>
    <w:p>
      <w:r>
        <w:rPr>
          <w:rFonts w:ascii="Times New Roman" w:hAnsi="Times New Roman" w:eastAsia="PingFang SC"/>
          <w:b w:val="0"/>
          <w:i w:val="0"/>
          <w:sz w:val="21"/>
        </w:rPr>
        <w:t>式（7）中的 c 和 b 分别代表什么？它们是否可学习？如果可以，最终参数是什么？作者应说明如何选择这两个参数。</w:t>
      </w:r>
    </w:p>
    <w:p>
      <w:r>
        <w:rPr>
          <w:rFonts w:ascii="Times New Roman" w:hAnsi="Times New Roman" w:eastAsia="PingFang SC"/>
          <w:b/>
          <w:i w:val="0"/>
          <w:sz w:val="21"/>
        </w:rPr>
        <w:t>简要回答思路</w:t>
      </w:r>
    </w:p>
    <w:p>
      <w:r>
        <w:rPr>
          <w:rFonts w:ascii="Times New Roman" w:hAnsi="Times New Roman" w:eastAsia="PingFang SC"/>
          <w:b w:val="0"/>
          <w:i w:val="0"/>
          <w:sz w:val="21"/>
        </w:rPr>
        <w:t>说明 c 是乘性增益、b 是加性偏置，由 ASIT 逐输入预测；补边界、训练集分布和固定部署时的取值。修正图 1 的图例。</w:t>
      </w:r>
      <w:r>
        <w:rPr>
          <w:rFonts w:ascii="Times New Roman" w:hAnsi="Times New Roman" w:eastAsia="PingFang SC"/>
          <w:b/>
          <w:i w:val="0"/>
          <w:sz w:val="21"/>
        </w:rPr>
        <w:t>原信写式（7），原稿光度公式为式（8）</w:t>
      </w:r>
      <w:r>
        <w:rPr>
          <w:rFonts w:ascii="Times New Roman" w:hAnsi="Times New Roman" w:eastAsia="PingFang SC"/>
          <w:b w:val="0"/>
          <w:i w:val="0"/>
          <w:sz w:val="21"/>
        </w:rPr>
        <w:t xml:space="preserve">，回复时礼貌澄清，不改审稿原话。诊断用 </w:t>
      </w:r>
      <w:r>
        <w:rPr>
          <w:rFonts w:ascii="Times New Roman" w:hAnsi="Times New Roman" w:eastAsia="PingFang SC"/>
          <w:b/>
          <w:i w:val="0"/>
          <w:sz w:val="21"/>
        </w:rPr>
        <w:t>E03</w:t>
      </w:r>
      <w:r>
        <w:rPr>
          <w:rFonts w:ascii="Times New Roman" w:hAnsi="Times New Roman" w:eastAsia="PingFang SC"/>
          <w:b w:val="0"/>
          <w:i w:val="0"/>
          <w:sz w:val="21"/>
        </w:rPr>
        <w:t>。</w:t>
      </w:r>
    </w:p>
    <w:p>
      <w:pPr>
        <w:pStyle w:val="Heading3"/>
      </w:pPr>
      <w:r>
        <w:t>R1-5｜增加符号表</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3 页</w:t>
      </w:r>
    </w:p>
    <w:p>
      <w:pPr>
        <w:pStyle w:val="EvidenceQuote"/>
      </w:pPr>
      <w:r>
        <w:rPr>
          <w:rFonts w:ascii="Times New Roman" w:hAnsi="Times New Roman" w:eastAsia="PingFang SC"/>
          <w:b w:val="0"/>
          <w:i/>
          <w:sz w:val="20"/>
        </w:rPr>
        <w:t>Moreover, Sections III and IV introduce many variables and equations that are difficult to follow. The authors should provide a notation table to review all the symbols used in this article.</w:t>
      </w:r>
    </w:p>
    <w:p>
      <w:r>
        <w:rPr>
          <w:rFonts w:ascii="Times New Roman" w:hAnsi="Times New Roman" w:eastAsia="PingFang SC"/>
          <w:b/>
          <w:i w:val="0"/>
          <w:sz w:val="21"/>
        </w:rPr>
        <w:t>中文翻译</w:t>
      </w:r>
    </w:p>
    <w:p>
      <w:r>
        <w:rPr>
          <w:rFonts w:ascii="Times New Roman" w:hAnsi="Times New Roman" w:eastAsia="PingFang SC"/>
          <w:b w:val="0"/>
          <w:i w:val="0"/>
          <w:sz w:val="21"/>
        </w:rPr>
        <w:t>第三、四节引入了很多变量和公式，难以理解。作者应提供符号表，汇总文中使用的全部符号。</w:t>
      </w:r>
    </w:p>
    <w:p>
      <w:r>
        <w:rPr>
          <w:rFonts w:ascii="Times New Roman" w:hAnsi="Times New Roman" w:eastAsia="PingFang SC"/>
          <w:b/>
          <w:i w:val="0"/>
          <w:sz w:val="21"/>
        </w:rPr>
        <w:t>简要回答思路</w:t>
      </w:r>
    </w:p>
    <w:p>
      <w:r>
        <w:rPr>
          <w:rFonts w:ascii="Times New Roman" w:hAnsi="Times New Roman" w:eastAsia="PingFang SC"/>
          <w:b w:val="0"/>
          <w:i w:val="0"/>
          <w:sz w:val="21"/>
        </w:rPr>
        <w:t>增加“符号—含义—维度—训练/测试用途”表；区分补丁、掩码、可学习变换和外界采集随机性。逐式检查，不需要额外训练。</w:t>
      </w:r>
    </w:p>
    <w:p>
      <w:pPr>
        <w:pStyle w:val="Heading3"/>
      </w:pPr>
      <w:r>
        <w:t>R1-6｜缩写首次出现需给全称</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3 页</w:t>
      </w:r>
    </w:p>
    <w:p>
      <w:pPr>
        <w:pStyle w:val="EvidenceQuote"/>
      </w:pPr>
      <w:r>
        <w:rPr>
          <w:rFonts w:ascii="Times New Roman" w:hAnsi="Times New Roman" w:eastAsia="PingFang SC"/>
          <w:b w:val="0"/>
          <w:i/>
          <w:sz w:val="20"/>
        </w:rPr>
        <w:t>Some abbreviations should be given their full names when they first appear so that readers can follow them better.</w:t>
      </w:r>
    </w:p>
    <w:p>
      <w:r>
        <w:rPr>
          <w:rFonts w:ascii="Times New Roman" w:hAnsi="Times New Roman" w:eastAsia="PingFang SC"/>
          <w:b/>
          <w:i w:val="0"/>
          <w:sz w:val="21"/>
        </w:rPr>
        <w:t>中文翻译</w:t>
      </w:r>
    </w:p>
    <w:p>
      <w:r>
        <w:rPr>
          <w:rFonts w:ascii="Times New Roman" w:hAnsi="Times New Roman" w:eastAsia="PingFang SC"/>
          <w:b w:val="0"/>
          <w:i w:val="0"/>
          <w:sz w:val="21"/>
        </w:rPr>
        <w:t>一些缩写应在首次出现时给出全称，以便读者理解。</w:t>
      </w:r>
    </w:p>
    <w:p>
      <w:r>
        <w:rPr>
          <w:rFonts w:ascii="Times New Roman" w:hAnsi="Times New Roman" w:eastAsia="PingFang SC"/>
          <w:b/>
          <w:i w:val="0"/>
          <w:sz w:val="21"/>
        </w:rPr>
        <w:t>简要回答思路</w:t>
      </w:r>
    </w:p>
    <w:p>
      <w:r>
        <w:rPr>
          <w:rFonts w:ascii="Times New Roman" w:hAnsi="Times New Roman" w:eastAsia="PingFang SC"/>
          <w:b w:val="0"/>
          <w:i w:val="0"/>
          <w:sz w:val="21"/>
        </w:rPr>
        <w:t>统一 ROI、EOT、ASR、TV、SSIM 及三个模块的全称和拼写；摘要、正文、图注分别检查。属于全文编辑任务。</w:t>
      </w:r>
    </w:p>
    <w:p>
      <w:pPr>
        <w:pStyle w:val="Heading3"/>
      </w:pPr>
      <w:r>
        <w:t>R1-7｜如何选择十字版与方形版？</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3 页</w:t>
      </w:r>
    </w:p>
    <w:p>
      <w:pPr>
        <w:pStyle w:val="EvidenceQuote"/>
      </w:pPr>
      <w:r>
        <w:rPr>
          <w:rFonts w:ascii="Times New Roman" w:hAnsi="Times New Roman" w:eastAsia="PingFang SC"/>
          <w:b w:val="0"/>
          <w:i/>
          <w:sz w:val="20"/>
        </w:rPr>
        <w:t>This paper employs the CAAPc and CAAPs variants. The author should clarify how to choose between the two variants and what application scenarios each is suitable for.</w:t>
      </w:r>
    </w:p>
    <w:p>
      <w:r>
        <w:rPr>
          <w:rFonts w:ascii="Times New Roman" w:hAnsi="Times New Roman" w:eastAsia="PingFang SC"/>
          <w:b/>
          <w:i w:val="0"/>
          <w:sz w:val="21"/>
        </w:rPr>
        <w:t>中文翻译</w:t>
      </w:r>
    </w:p>
    <w:p>
      <w:r>
        <w:rPr>
          <w:rFonts w:ascii="Times New Roman" w:hAnsi="Times New Roman" w:eastAsia="PingFang SC"/>
          <w:b w:val="0"/>
          <w:i w:val="0"/>
          <w:sz w:val="21"/>
        </w:rPr>
        <w:t>本文使用了 CAAPc 和 CAAPs 两个变体。作者应说明如何在两者之间选择，以及各自适用的场景。</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依据 </w:t>
      </w:r>
      <w:r>
        <w:rPr>
          <w:rFonts w:ascii="Times New Roman" w:hAnsi="Times New Roman" w:eastAsia="PingFang SC"/>
          <w:b/>
          <w:i w:val="0"/>
          <w:sz w:val="21"/>
        </w:rPr>
        <w:t>E02、E06、E08</w:t>
      </w:r>
      <w:r>
        <w:rPr>
          <w:rFonts w:ascii="Times New Roman" w:hAnsi="Times New Roman" w:eastAsia="PingFang SC"/>
          <w:b w:val="0"/>
          <w:i w:val="0"/>
          <w:sz w:val="21"/>
        </w:rPr>
        <w:t xml:space="preserve"> 的等预算、固定部署和迁移结果给出有限建议。选择策略只在开发集确定；若没有一致优势，就说明差异受模型/场景影响，不给普适推荐。</w:t>
      </w:r>
    </w:p>
    <w:p>
      <w:pPr>
        <w:pStyle w:val="Heading2"/>
      </w:pPr>
      <w:r>
        <w:t>Reviewer 2｜部署可信性与实验充分性</w:t>
      </w:r>
    </w:p>
    <w:p>
      <w:pPr>
        <w:pStyle w:val="Heading3"/>
      </w:pPr>
      <w:r>
        <w:t>R2-1｜固定印刷物如何实现逐样本适应？</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4 页</w:t>
      </w:r>
    </w:p>
    <w:p>
      <w:pPr>
        <w:pStyle w:val="EvidenceQuote"/>
      </w:pPr>
      <w:r>
        <w:rPr>
          <w:rFonts w:ascii="Times New Roman" w:hAnsi="Times New Roman" w:eastAsia="PingFang SC"/>
          <w:b w:val="0"/>
          <w:i/>
          <w:sz w:val="20"/>
        </w:rPr>
        <w:t>ASIT requires a clean ROI to predict sample-specific geometric and photometric transformations before digitally compositing the patch. It is unclear how an attacker using a fixed printed patch could obtain this input or realize these adaptive transformations. The physical deployment procedure must be clarified and evaluated without digital test-time manipulation.</w:t>
      </w:r>
    </w:p>
    <w:p>
      <w:r>
        <w:rPr>
          <w:rFonts w:ascii="Times New Roman" w:hAnsi="Times New Roman" w:eastAsia="PingFang SC"/>
          <w:b/>
          <w:i w:val="0"/>
          <w:sz w:val="21"/>
        </w:rPr>
        <w:t>中文翻译</w:t>
      </w:r>
    </w:p>
    <w:p>
      <w:r>
        <w:rPr>
          <w:rFonts w:ascii="Times New Roman" w:hAnsi="Times New Roman" w:eastAsia="PingFang SC"/>
          <w:b w:val="0"/>
          <w:i w:val="0"/>
          <w:sz w:val="21"/>
        </w:rPr>
        <w:t>ASIT 在数字合成补丁前，需要洁净 ROI 来预测样本特定的几何和光度变换。使用固定印刷补丁的攻击者如何获得该输入、如何实现这些自适应变化，目前并不清楚。必须澄清物理部署流程，并在没有测试期数字操纵的条件下评估。</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主表改为 </w:t>
      </w:r>
      <w:r>
        <w:rPr>
          <w:rFonts w:ascii="Times New Roman" w:hAnsi="Times New Roman" w:eastAsia="PingFang SC"/>
          <w:b/>
          <w:i w:val="0"/>
          <w:sz w:val="21"/>
        </w:rPr>
        <w:t>固定纹理、固定标称位置/尺度、无逐图调亮</w:t>
      </w:r>
      <w:r>
        <w:rPr>
          <w:rFonts w:ascii="Times New Roman" w:hAnsi="Times New Roman" w:eastAsia="PingFang SC"/>
          <w:b w:val="0"/>
          <w:i w:val="0"/>
          <w:sz w:val="21"/>
        </w:rPr>
        <w:t xml:space="preserve">；同一补丁额外评条件渲染及分解，明确两者能力不同。固定数字合成只是物理约束的代理，仍需 </w:t>
      </w:r>
      <w:r>
        <w:rPr>
          <w:rFonts w:ascii="Times New Roman" w:hAnsi="Times New Roman" w:eastAsia="PingFang SC"/>
          <w:b/>
          <w:i w:val="0"/>
          <w:sz w:val="21"/>
        </w:rPr>
        <w:t>E11</w:t>
      </w:r>
      <w:r>
        <w:rPr>
          <w:rFonts w:ascii="Times New Roman" w:hAnsi="Times New Roman" w:eastAsia="PingFang SC"/>
          <w:b w:val="0"/>
          <w:i w:val="0"/>
          <w:sz w:val="21"/>
        </w:rPr>
        <w:t xml:space="preserve"> 实拍验证。对应 </w:t>
      </w:r>
      <w:r>
        <w:rPr>
          <w:rFonts w:ascii="Times New Roman" w:hAnsi="Times New Roman" w:eastAsia="PingFang SC"/>
          <w:b/>
          <w:i w:val="0"/>
          <w:sz w:val="21"/>
        </w:rPr>
        <w:t>E02、E03、E11</w:t>
      </w:r>
      <w:r>
        <w:rPr>
          <w:rFonts w:ascii="Times New Roman" w:hAnsi="Times New Roman" w:eastAsia="PingFang SC"/>
          <w:b w:val="0"/>
          <w:i w:val="0"/>
          <w:sz w:val="21"/>
        </w:rPr>
        <w:t>。</w:t>
      </w:r>
    </w:p>
    <w:p>
      <w:pPr>
        <w:pStyle w:val="Heading3"/>
      </w:pPr>
      <w:r>
        <w:t>R2-2｜10 人、20 次至少成功一次不足以说明强攻击</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4 页</w:t>
      </w:r>
    </w:p>
    <w:p>
      <w:pPr>
        <w:pStyle w:val="EvidenceQuote"/>
      </w:pPr>
      <w:r>
        <w:rPr>
          <w:rFonts w:ascii="Times New Roman" w:hAnsi="Times New Roman" w:eastAsia="PingFang SC"/>
          <w:b w:val="0"/>
          <w:i/>
          <w:sz w:val="20"/>
        </w:rPr>
        <w:t>The physical evaluation is insufficient. Only ten subjects and a limited acquisition setup are used. Moreover, an identity is considered successfully attacked if just one of 20 attempts succeeds, which can substantially inflate the reported ASR. The paper should report per-attempt ASR, per-subject distributions, confidence intervals, and results across different devices, poses, distances, lighting conditions, and patch placements.</w:t>
      </w:r>
    </w:p>
    <w:p>
      <w:r>
        <w:rPr>
          <w:rFonts w:ascii="Times New Roman" w:hAnsi="Times New Roman" w:eastAsia="PingFang SC"/>
          <w:b/>
          <w:i w:val="0"/>
          <w:sz w:val="21"/>
        </w:rPr>
        <w:t>中文翻译</w:t>
      </w:r>
    </w:p>
    <w:p>
      <w:r>
        <w:rPr>
          <w:rFonts w:ascii="Times New Roman" w:hAnsi="Times New Roman" w:eastAsia="PingFang SC"/>
          <w:b w:val="0"/>
          <w:i w:val="0"/>
          <w:sz w:val="21"/>
        </w:rPr>
        <w:t>物理评估不足：仅有 10 名受试者，采集设置有限。而且，20 次尝试中只要一次成功，就将该身份视为攻击成功，这可能显著抬高报告的 ASR。论文应报告逐次 ASR、每名受试者的分布、置信区间，以及不同设备、姿态、距离、光照和补丁位置下的结果。</w:t>
      </w:r>
    </w:p>
    <w:p>
      <w:r>
        <w:rPr>
          <w:rFonts w:ascii="Times New Roman" w:hAnsi="Times New Roman" w:eastAsia="PingFang SC"/>
          <w:b/>
          <w:i w:val="0"/>
          <w:sz w:val="21"/>
        </w:rPr>
        <w:t>简要回答思路</w:t>
      </w:r>
    </w:p>
    <w:p>
      <w:r>
        <w:rPr>
          <w:rFonts w:ascii="Times New Roman" w:hAnsi="Times New Roman" w:eastAsia="PingFang SC"/>
          <w:b w:val="0"/>
          <w:i w:val="0"/>
          <w:sz w:val="21"/>
        </w:rPr>
        <w:t>恢复真实逐次记录，主报单次成功率、每人成功次数和受试者聚类区间；“20 次内至少一次”只作明确重试预算指标。</w:t>
      </w:r>
      <w:r>
        <w:rPr>
          <w:rFonts w:ascii="Times New Roman" w:hAnsi="Times New Roman" w:eastAsia="PingFang SC"/>
          <w:b/>
          <w:i w:val="0"/>
          <w:sz w:val="21"/>
        </w:rPr>
        <w:t>E11</w:t>
      </w:r>
      <w:r>
        <w:rPr>
          <w:rFonts w:ascii="Times New Roman" w:hAnsi="Times New Roman" w:eastAsia="PingFang SC"/>
          <w:b w:val="0"/>
          <w:i w:val="0"/>
          <w:sz w:val="21"/>
        </w:rPr>
        <w:t xml:space="preserve"> 补多条件与同条件对照，无法取得原图或许可时明确保留缺口。</w:t>
      </w:r>
    </w:p>
    <w:p>
      <w:pPr>
        <w:pStyle w:val="Heading3"/>
      </w:pPr>
      <w:r>
        <w:t>R2-3｜身份划分与认证协议不清晰</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4 页</w:t>
      </w:r>
    </w:p>
    <w:p>
      <w:pPr>
        <w:pStyle w:val="EvidenceQuote"/>
      </w:pPr>
      <w:r>
        <w:rPr>
          <w:rFonts w:ascii="Times New Roman" w:hAnsi="Times New Roman" w:eastAsia="PingFang SC"/>
          <w:b w:val="0"/>
          <w:i/>
          <w:sz w:val="20"/>
        </w:rPr>
        <w:t>The biometric evaluation protocol is unclear. The claimed subject-disjoint split appears inconsistent with closed-set identity classification and a fixed target label. The authors should clearly describe victim-model training, patch-training, enrollment, gallery, and probe partitions. Since the paper motivates authentication applications, verification metrics such as false-accept rate and ROC/DET curves should also be reported.</w:t>
      </w:r>
    </w:p>
    <w:p>
      <w:r>
        <w:rPr>
          <w:rFonts w:ascii="Times New Roman" w:hAnsi="Times New Roman" w:eastAsia="PingFang SC"/>
          <w:b/>
          <w:i w:val="0"/>
          <w:sz w:val="21"/>
        </w:rPr>
        <w:t>中文翻译</w:t>
      </w:r>
    </w:p>
    <w:p>
      <w:r>
        <w:rPr>
          <w:rFonts w:ascii="Times New Roman" w:hAnsi="Times New Roman" w:eastAsia="PingFang SC"/>
          <w:b w:val="0"/>
          <w:i w:val="0"/>
          <w:sz w:val="21"/>
        </w:rPr>
        <w:t>生物特征评估协议不清楚。声称的受试者互斥划分，与闭集身份分类及固定目标标签似乎不一致。作者应清楚说明识别器训练、补丁训练、注册、图库和查询样本的划分。既然论文以认证应用为动机，还应报告误接受率及 ROC/DET 曲线等验证指标。</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用 </w:t>
      </w:r>
      <w:r>
        <w:rPr>
          <w:rFonts w:ascii="Times New Roman" w:hAnsi="Times New Roman" w:eastAsia="PingFang SC"/>
          <w:b/>
          <w:i w:val="0"/>
          <w:sz w:val="21"/>
        </w:rPr>
        <w:t>E01</w:t>
      </w:r>
      <w:r>
        <w:rPr>
          <w:rFonts w:ascii="Times New Roman" w:hAnsi="Times New Roman" w:eastAsia="PingFang SC"/>
          <w:b w:val="0"/>
          <w:i w:val="0"/>
          <w:sz w:val="21"/>
        </w:rPr>
        <w:t xml:space="preserve"> 核对真实划分，写清掌级类别和每个学习环节见过哪些图；用独立校准集固定阈值，再以 </w:t>
      </w:r>
      <w:r>
        <w:rPr>
          <w:rFonts w:ascii="Times New Roman" w:hAnsi="Times New Roman" w:eastAsia="PingFang SC"/>
          <w:b/>
          <w:i w:val="0"/>
          <w:sz w:val="21"/>
        </w:rPr>
        <w:t>E04</w:t>
      </w:r>
      <w:r>
        <w:rPr>
          <w:rFonts w:ascii="Times New Roman" w:hAnsi="Times New Roman" w:eastAsia="PingFang SC"/>
          <w:b w:val="0"/>
          <w:i w:val="0"/>
          <w:sz w:val="21"/>
        </w:rPr>
        <w:t xml:space="preserve"> 测本人拒绝和目标接受。分类错不等于冒名通过，同人左右掌也不自动构成同一模板的 genuine pair。</w:t>
      </w:r>
    </w:p>
    <w:p>
      <w:pPr>
        <w:pStyle w:val="Heading3"/>
      </w:pPr>
      <w:r>
        <w:t>R2-4｜设置与基线预算缺失</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4 页</w:t>
      </w:r>
    </w:p>
    <w:p>
      <w:pPr>
        <w:pStyle w:val="EvidenceQuote"/>
      </w:pPr>
      <w:r>
        <w:rPr>
          <w:rFonts w:ascii="Times New Roman" w:hAnsi="Times New Roman" w:eastAsia="PingFang SC"/>
          <w:b w:val="0"/>
          <w:i/>
          <w:sz w:val="20"/>
        </w:rPr>
        <w:t>Essential settings, including ASIT bounds, RaS distributions, EOT samples, training iterations, MS-DIFE pretraining, and exact patch areas—are missing. It is also unclear whether all baselines receive equal optimization budgets, transformation models, and tuning.</w:t>
      </w:r>
    </w:p>
    <w:p>
      <w:r>
        <w:rPr>
          <w:rFonts w:ascii="Times New Roman" w:hAnsi="Times New Roman" w:eastAsia="PingFang SC"/>
          <w:b/>
          <w:i w:val="0"/>
          <w:sz w:val="21"/>
        </w:rPr>
        <w:t>中文翻译</w:t>
      </w:r>
    </w:p>
    <w:p>
      <w:r>
        <w:rPr>
          <w:rFonts w:ascii="Times New Roman" w:hAnsi="Times New Roman" w:eastAsia="PingFang SC"/>
          <w:b w:val="0"/>
          <w:i w:val="0"/>
          <w:sz w:val="21"/>
        </w:rPr>
        <w:t>缺少关键设置，包括 ASIT 边界、RaS 分布、EOT 采样数、训练迭代数、MS-DIFE 预训练和补丁精确面积。各基线是否采用相同的优化预算、变换模型和调参资源，也不清楚。</w:t>
      </w:r>
    </w:p>
    <w:p>
      <w:r>
        <w:rPr>
          <w:rFonts w:ascii="Times New Roman" w:hAnsi="Times New Roman" w:eastAsia="PingFang SC"/>
          <w:b/>
          <w:i w:val="0"/>
          <w:sz w:val="21"/>
        </w:rPr>
        <w:t>简要回答思路</w:t>
      </w:r>
    </w:p>
    <w:p>
      <w:r>
        <w:rPr>
          <w:rFonts w:ascii="Times New Roman" w:hAnsi="Times New Roman" w:eastAsia="PingFang SC"/>
          <w:b w:val="0"/>
          <w:i w:val="0"/>
          <w:sz w:val="21"/>
        </w:rPr>
        <w:t>所有方法共享明确的数据、部署及面积条件；同时报告更新数、前后向/查询次数、调参次数和耗时。</w:t>
      </w:r>
      <w:r>
        <w:rPr>
          <w:rFonts w:ascii="Times New Roman" w:hAnsi="Times New Roman" w:eastAsia="PingFang SC"/>
          <w:b/>
          <w:i w:val="0"/>
          <w:sz w:val="21"/>
        </w:rPr>
        <w:t>相同 epoch 不等于相同计算量。</w:t>
      </w:r>
      <w:r>
        <w:rPr>
          <w:rFonts w:ascii="Times New Roman" w:hAnsi="Times New Roman" w:eastAsia="PingFang SC"/>
          <w:b w:val="0"/>
          <w:i w:val="0"/>
          <w:sz w:val="21"/>
        </w:rPr>
        <w:t xml:space="preserve"> 原作算法与能力适配分开命名；补丁面积先用真实掩码核算。对应 </w:t>
      </w:r>
      <w:r>
        <w:rPr>
          <w:rFonts w:ascii="Times New Roman" w:hAnsi="Times New Roman" w:eastAsia="PingFang SC"/>
          <w:b/>
          <w:i w:val="0"/>
          <w:sz w:val="21"/>
        </w:rPr>
        <w:t>E01、E02、E05–E07、E12</w:t>
      </w:r>
      <w:r>
        <w:rPr>
          <w:rFonts w:ascii="Times New Roman" w:hAnsi="Times New Roman" w:eastAsia="PingFang SC"/>
          <w:b w:val="0"/>
          <w:i w:val="0"/>
          <w:sz w:val="21"/>
        </w:rPr>
        <w:t>。</w:t>
      </w:r>
    </w:p>
    <w:p>
      <w:pPr>
        <w:pStyle w:val="Heading3"/>
      </w:pPr>
      <w:r>
        <w:t>R2-5｜需要更强模块证据，尤其是 RaS 的物理作用</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4 页</w:t>
      </w:r>
    </w:p>
    <w:p>
      <w:pPr>
        <w:pStyle w:val="EvidenceQuote"/>
      </w:pPr>
      <w:r>
        <w:rPr>
          <w:rFonts w:ascii="Times New Roman" w:hAnsi="Times New Roman" w:eastAsia="PingFang SC"/>
          <w:b w:val="0"/>
          <w:i/>
          <w:sz w:val="20"/>
        </w:rPr>
        <w:t>The novelty and component contributions require stronger evidence. Cross-shaped patches, EOT, spatial transformers, and feature-space losses are established techniques. The ablation results suggest that ASIT provides most of the improvement, while RaS and MS-DIFE contribute little individually. In particular, the physical benefit of RaS should be demonstrated through controlled physical ablations.</w:t>
      </w:r>
    </w:p>
    <w:p>
      <w:r>
        <w:rPr>
          <w:rFonts w:ascii="Times New Roman" w:hAnsi="Times New Roman" w:eastAsia="PingFang SC"/>
          <w:b/>
          <w:i w:val="0"/>
          <w:sz w:val="21"/>
        </w:rPr>
        <w:t>中文翻译</w:t>
      </w:r>
    </w:p>
    <w:p>
      <w:r>
        <w:rPr>
          <w:rFonts w:ascii="Times New Roman" w:hAnsi="Times New Roman" w:eastAsia="PingFang SC"/>
          <w:b w:val="0"/>
          <w:i w:val="0"/>
          <w:sz w:val="21"/>
        </w:rPr>
        <w:t>新颖性和组件贡献需要更强证据。十字补丁、EOT、空间变换器和特征空间损失都是已有技术。消融结果表明，大部分提升来自 ASIT，而 RaS 和 MS-DIFE 单独贡献较小。尤其应通过受控物理消融证明 RaS 的物理收益。</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用 </w:t>
      </w:r>
      <w:r>
        <w:rPr>
          <w:rFonts w:ascii="Times New Roman" w:hAnsi="Times New Roman" w:eastAsia="PingFang SC"/>
          <w:b/>
          <w:i w:val="0"/>
          <w:sz w:val="21"/>
        </w:rPr>
        <w:t>E05</w:t>
      </w:r>
      <w:r>
        <w:rPr>
          <w:rFonts w:ascii="Times New Roman" w:hAnsi="Times New Roman" w:eastAsia="PingFang SC"/>
          <w:b w:val="0"/>
          <w:i w:val="0"/>
          <w:sz w:val="21"/>
        </w:rPr>
        <w:t xml:space="preserve"> 做完整组件组合及无/随机/预训练特征对照；用 </w:t>
      </w:r>
      <w:r>
        <w:rPr>
          <w:rFonts w:ascii="Times New Roman" w:hAnsi="Times New Roman" w:eastAsia="PingFang SC"/>
          <w:b/>
          <w:i w:val="0"/>
          <w:sz w:val="21"/>
        </w:rPr>
        <w:t>E07</w:t>
      </w:r>
      <w:r>
        <w:rPr>
          <w:rFonts w:ascii="Times New Roman" w:hAnsi="Times New Roman" w:eastAsia="PingFang SC"/>
          <w:b w:val="0"/>
          <w:i w:val="0"/>
          <w:sz w:val="21"/>
        </w:rPr>
        <w:t xml:space="preserve"> 看留出退化；用 </w:t>
      </w:r>
      <w:r>
        <w:rPr>
          <w:rFonts w:ascii="Times New Roman" w:hAnsi="Times New Roman" w:eastAsia="PingFang SC"/>
          <w:b/>
          <w:i w:val="0"/>
          <w:sz w:val="21"/>
        </w:rPr>
        <w:t>E11</w:t>
      </w:r>
      <w:r>
        <w:rPr>
          <w:rFonts w:ascii="Times New Roman" w:hAnsi="Times New Roman" w:eastAsia="PingFang SC"/>
          <w:b w:val="0"/>
          <w:i w:val="0"/>
          <w:sz w:val="21"/>
        </w:rPr>
        <w:t xml:space="preserve"> 打印只差 RaS 的两张补丁。无稳定增益就如实弱化该模块贡献；数字消融不能代替物理消融。</w:t>
      </w:r>
    </w:p>
    <w:p>
      <w:pPr>
        <w:pStyle w:val="Heading2"/>
      </w:pPr>
      <w:r>
        <w:t>Reviewer 3｜进一步确认部署、物理指标和文献边界</w:t>
      </w:r>
    </w:p>
    <w:p>
      <w:pPr>
        <w:pStyle w:val="Heading3"/>
      </w:pPr>
      <w:r>
        <w:t>R3-1｜学到的变换不等于外界施加的采集变化</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5 页</w:t>
      </w:r>
    </w:p>
    <w:p>
      <w:pPr>
        <w:pStyle w:val="EvidenceQuote"/>
      </w:pPr>
      <w:r>
        <w:rPr>
          <w:rFonts w:ascii="Times New Roman" w:hAnsi="Times New Roman" w:eastAsia="PingFang SC"/>
          <w:b w:val="0"/>
          <w:i/>
          <w:sz w:val="20"/>
        </w:rPr>
        <w:t>My main concern is the correspondence between digital rendering and physical deployment. Sections IV-C and IV-G, including Eqs. (4), (8), and (23)–(24), use each clean ROI to predict placement, scale, and patch-local contrast and brightness, whereas Section III-C describes fabricating and reusing one physical patch. Please explain how the attacker obtains the clean ROI and physically implements these adjustments with the same printed artifact. If ASIT instead simulates acquisition, its optimized transformations should be distinguished from externally imposed capture variation.</w:t>
      </w:r>
    </w:p>
    <w:p>
      <w:r>
        <w:rPr>
          <w:rFonts w:ascii="Times New Roman" w:hAnsi="Times New Roman" w:eastAsia="PingFang SC"/>
          <w:b/>
          <w:i w:val="0"/>
          <w:sz w:val="21"/>
        </w:rPr>
        <w:t>中文翻译</w:t>
      </w:r>
    </w:p>
    <w:p>
      <w:r>
        <w:rPr>
          <w:rFonts w:ascii="Times New Roman" w:hAnsi="Times New Roman" w:eastAsia="PingFang SC"/>
          <w:b w:val="0"/>
          <w:i w:val="0"/>
          <w:sz w:val="21"/>
        </w:rPr>
        <w:t>我主要关注数字渲染与物理部署是否对应。第四节 C、G，包括式（4）、（8）、（23）–（24），利用每张洁净 ROI 预测位置、尺度及补丁局部对比度和亮度；而第三节 C 描述的是制作并重复使用同一张物理补丁。请解释攻击者如何获得洁净 ROI，以及如何用同一印刷物实现这些调整。如果 ASIT 是在模拟采集，则应区分它优化出的变换与外界施加的采集变化。</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明确区分“与补丁协同优化的 ASIT”和“外界独立采样的采集扰动”；不能只改称“仿真”就消除能力差异。用 </w:t>
      </w:r>
      <w:r>
        <w:rPr>
          <w:rFonts w:ascii="Times New Roman" w:hAnsi="Times New Roman" w:eastAsia="PingFang SC"/>
          <w:b/>
          <w:i w:val="0"/>
          <w:sz w:val="21"/>
        </w:rPr>
        <w:t>E03</w:t>
      </w:r>
      <w:r>
        <w:rPr>
          <w:rFonts w:ascii="Times New Roman" w:hAnsi="Times New Roman" w:eastAsia="PingFang SC"/>
          <w:b w:val="0"/>
          <w:i w:val="0"/>
          <w:sz w:val="21"/>
        </w:rPr>
        <w:t xml:space="preserve"> 分解测试作用，</w:t>
      </w:r>
      <w:r>
        <w:rPr>
          <w:rFonts w:ascii="Times New Roman" w:hAnsi="Times New Roman" w:eastAsia="PingFang SC"/>
          <w:b/>
          <w:i w:val="0"/>
          <w:sz w:val="21"/>
        </w:rPr>
        <w:t>E05、E07</w:t>
      </w:r>
      <w:r>
        <w:rPr>
          <w:rFonts w:ascii="Times New Roman" w:hAnsi="Times New Roman" w:eastAsia="PingFang SC"/>
          <w:b w:val="0"/>
          <w:i w:val="0"/>
          <w:sz w:val="21"/>
        </w:rPr>
        <w:t xml:space="preserve"> 检验训练作用，实拍另测。</w:t>
      </w:r>
    </w:p>
    <w:p>
      <w:pPr>
        <w:pStyle w:val="Heading3"/>
      </w:pPr>
      <w:r>
        <w:t>R3-2｜需要真实遮挡对照与物理模块消融</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5 页</w:t>
      </w:r>
    </w:p>
    <w:p>
      <w:pPr>
        <w:pStyle w:val="EvidenceQuote"/>
      </w:pPr>
      <w:r>
        <w:rPr>
          <w:rFonts w:ascii="Times New Roman" w:hAnsi="Times New Roman" w:eastAsia="PingFang SC"/>
          <w:b w:val="0"/>
          <w:i/>
          <w:sz w:val="20"/>
        </w:rPr>
        <w:t>The physical success metric needs more complete reporting. Section V-F and Fig. 5 count a subject as successfully attacked if any of twenty captures succeeds. Thus, the 90% untargeted result on CCNet means nine of ten subjects succeeded at least once. This is meaningful for a stated retry budget, but per-capture success rates and each subject’s success counts are also needed. Please include clean recapture and same-shape occlusion controls, a matched universal cross-shaped EOT patch, and physical ASIT/RaS ablations under specified lighting and pose variation. These comparisons are necessary to assess the physical benefit of the capture-aware design.</w:t>
      </w:r>
    </w:p>
    <w:p>
      <w:r>
        <w:rPr>
          <w:rFonts w:ascii="Times New Roman" w:hAnsi="Times New Roman" w:eastAsia="PingFang SC"/>
          <w:b/>
          <w:i w:val="0"/>
          <w:sz w:val="21"/>
        </w:rPr>
        <w:t>中文翻译</w:t>
      </w:r>
    </w:p>
    <w:p>
      <w:r>
        <w:rPr>
          <w:rFonts w:ascii="Times New Roman" w:hAnsi="Times New Roman" w:eastAsia="PingFang SC"/>
          <w:b w:val="0"/>
          <w:i w:val="0"/>
          <w:sz w:val="21"/>
        </w:rPr>
        <w:t>物理成功指标需要更完整的报告。第五节 F 和图 5 在 20 次拍摄中任意一次成功时，就将该受试者计为成功。因此，CCNet 的 90% 未定向结果意味着 10 人中有 9 人至少成功一次。这个指标对明确的重试预算有意义，但还需要逐次成功率和每个人的成功次数。请加入洁净重拍、同形状遮挡、匹配的通用十字 EOT 补丁，以及在明确光照和姿态变化下的物理 ASIT/RaS 消融。这些比较是评价捕获感知设计物理收益所必需的。</w:t>
      </w:r>
    </w:p>
    <w:p>
      <w:r>
        <w:rPr>
          <w:rFonts w:ascii="Times New Roman" w:hAnsi="Times New Roman" w:eastAsia="PingFang SC"/>
          <w:b/>
          <w:i w:val="0"/>
          <w:sz w:val="21"/>
        </w:rPr>
        <w:t>简要回答思路</w:t>
      </w:r>
    </w:p>
    <w:p>
      <w:r>
        <w:rPr>
          <w:rFonts w:ascii="Times New Roman" w:hAnsi="Times New Roman" w:eastAsia="PingFang SC"/>
          <w:b/>
          <w:i w:val="0"/>
          <w:sz w:val="21"/>
        </w:rPr>
        <w:t>E11</w:t>
      </w:r>
      <w:r>
        <w:rPr>
          <w:rFonts w:ascii="Times New Roman" w:hAnsi="Times New Roman" w:eastAsia="PingFang SC"/>
          <w:b w:val="0"/>
          <w:i w:val="0"/>
          <w:sz w:val="21"/>
        </w:rPr>
        <w:t xml:space="preserve"> 设置六组：洁净、常数遮挡、匹配 EOT、完整参照、仅去 ASIT、仅去 RaS。后两组必须只改变一个训练因素；EOT 同时去掉多个组件，不能冒充纯 ASIT 消融。按条件报告单次和真实顺序重试指标。</w:t>
      </w:r>
    </w:p>
    <w:p>
      <w:pPr>
        <w:pStyle w:val="Heading3"/>
      </w:pPr>
      <w:r>
        <w:t>R3-3｜补充每模型洁净准确率和分母</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5 页</w:t>
      </w:r>
    </w:p>
    <w:p>
      <w:pPr>
        <w:pStyle w:val="EvidenceQuote"/>
      </w:pPr>
      <w:r>
        <w:rPr>
          <w:rFonts w:ascii="Times New Roman" w:hAnsi="Times New Roman" w:eastAsia="PingFang SC"/>
          <w:b w:val="0"/>
          <w:i/>
          <w:sz w:val="20"/>
        </w:rPr>
        <w:t>Section V-A states that training and test subjects are disjoint, yet the attack uses identity-class logits and reports near-saturated clean classification accuracy. Please distinguish recognizer training, enrollment, patch training, and evaluation, and explain how test identities enter the classifier or gallery. Clean accuracy and the ASR denominator should also be reported.</w:t>
      </w:r>
    </w:p>
    <w:p>
      <w:r>
        <w:rPr>
          <w:rFonts w:ascii="Times New Roman" w:hAnsi="Times New Roman" w:eastAsia="PingFang SC"/>
          <w:b/>
          <w:i w:val="0"/>
          <w:sz w:val="21"/>
        </w:rPr>
        <w:t>中文翻译</w:t>
      </w:r>
    </w:p>
    <w:p>
      <w:r>
        <w:rPr>
          <w:rFonts w:ascii="Times New Roman" w:hAnsi="Times New Roman" w:eastAsia="PingFang SC"/>
          <w:b w:val="0"/>
          <w:i w:val="0"/>
          <w:sz w:val="21"/>
        </w:rPr>
        <w:t>第五节 A 声称训练与测试受试者不相交，但攻击使用身份类别 logits，并报告接近饱和的洁净分类准确率。请区分识别器训练、注册、补丁训练和评估，解释测试身份如何进入分类头或图库；还应报告洁净准确率和 ASR 分母。</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与 R2-3 共用 </w:t>
      </w:r>
      <w:r>
        <w:rPr>
          <w:rFonts w:ascii="Times New Roman" w:hAnsi="Times New Roman" w:eastAsia="PingFang SC"/>
          <w:b/>
          <w:i w:val="0"/>
          <w:sz w:val="21"/>
        </w:rPr>
        <w:t>E01、E02、E04</w:t>
      </w:r>
      <w:r>
        <w:rPr>
          <w:rFonts w:ascii="Times New Roman" w:hAnsi="Times New Roman" w:eastAsia="PingFang SC"/>
          <w:b w:val="0"/>
          <w:i w:val="0"/>
          <w:sz w:val="21"/>
        </w:rPr>
        <w:t>，但单独回复。每模型列出洁净准确率、成功数/有效数与实际划分；零有效样本为“无效”，不是 0% 攻击成功，也不再笼统称所有模型接近饱和。</w:t>
      </w:r>
    </w:p>
    <w:p>
      <w:pPr>
        <w:pStyle w:val="Heading3"/>
      </w:pPr>
      <w:r>
        <w:t>R3-4｜近两年的掌纹文献覆盖不足</w:t>
      </w:r>
    </w:p>
    <w:p>
      <w:r>
        <w:rPr>
          <w:rFonts w:ascii="Times New Roman" w:hAnsi="Times New Roman" w:eastAsia="PingFang SC"/>
          <w:b/>
          <w:i w:val="0"/>
          <w:sz w:val="21"/>
        </w:rPr>
        <w:t>英文原文</w:t>
      </w:r>
      <w:r>
        <w:rPr>
          <w:rFonts w:ascii="Times New Roman" w:hAnsi="Times New Roman" w:eastAsia="PingFang SC"/>
          <w:b w:val="0"/>
          <w:i w:val="0"/>
          <w:sz w:val="21"/>
        </w:rPr>
        <w:t xml:space="preserve"> · 第 5 页</w:t>
      </w:r>
    </w:p>
    <w:p>
      <w:pPr>
        <w:pStyle w:val="EvidenceQuote"/>
      </w:pPr>
      <w:r>
        <w:rPr>
          <w:rFonts w:ascii="Times New Roman" w:hAnsi="Times New Roman" w:eastAsia="PingFang SC"/>
          <w:b w:val="0"/>
          <w:i/>
          <w:sz w:val="20"/>
        </w:rPr>
        <w:t>I find the coverage of recent palmprint research insufficient, particularly relevant work published over the past two years in TIFS, TIP, and major conferences such as CVPR. The authors should update the references.</w:t>
      </w:r>
    </w:p>
    <w:p>
      <w:r>
        <w:rPr>
          <w:rFonts w:ascii="Times New Roman" w:hAnsi="Times New Roman" w:eastAsia="PingFang SC"/>
          <w:b/>
          <w:i w:val="0"/>
          <w:sz w:val="21"/>
        </w:rPr>
        <w:t>中文翻译</w:t>
      </w:r>
    </w:p>
    <w:p>
      <w:r>
        <w:rPr>
          <w:rFonts w:ascii="Times New Roman" w:hAnsi="Times New Roman" w:eastAsia="PingFang SC"/>
          <w:b w:val="0"/>
          <w:i w:val="0"/>
          <w:sz w:val="21"/>
        </w:rPr>
        <w:t>我认为近期掌纹研究的覆盖不够，尤其是过去两年发表于 TIFS、TIP 期刊及 CVPR 等主要会议的相关工作。作者应更新参考文献。</w:t>
      </w:r>
    </w:p>
    <w:p>
      <w:r>
        <w:rPr>
          <w:rFonts w:ascii="Times New Roman" w:hAnsi="Times New Roman" w:eastAsia="PingFang SC"/>
          <w:b/>
          <w:i w:val="0"/>
          <w:sz w:val="21"/>
        </w:rPr>
        <w:t>简要回答思路</w:t>
      </w:r>
    </w:p>
    <w:p>
      <w:r>
        <w:rPr>
          <w:rFonts w:ascii="Times New Roman" w:hAnsi="Times New Roman" w:eastAsia="PingFang SC"/>
          <w:b w:val="0"/>
          <w:i w:val="0"/>
          <w:sz w:val="21"/>
        </w:rPr>
        <w:t xml:space="preserve">按“识别与协议—掌纹攻击—物理补丁与防御”重写相关工作，而非只追加篇目。纳入 UAA、Diff-Palm、完整 ROI、FedPalm 等；讨论本次新核实的 </w:t>
      </w:r>
      <w:r>
        <w:rPr>
          <w:rFonts w:ascii="Times New Roman" w:hAnsi="Times New Roman" w:eastAsia="PingFang SC"/>
          <w:b/>
          <w:i w:val="0"/>
          <w:sz w:val="21"/>
        </w:rPr>
        <w:t>CAP</w:t>
      </w:r>
      <w:r>
        <w:rPr>
          <w:rFonts w:ascii="Times New Roman" w:hAnsi="Times New Roman" w:eastAsia="PingFang SC"/>
          <w:b w:val="0"/>
          <w:i w:val="0"/>
          <w:sz w:val="21"/>
        </w:rPr>
        <w:t xml:space="preserve">，并用 </w:t>
      </w:r>
      <w:r>
        <w:rPr>
          <w:rFonts w:ascii="Times New Roman" w:hAnsi="Times New Roman" w:eastAsia="PingFang SC"/>
          <w:b/>
          <w:i w:val="0"/>
          <w:sz w:val="21"/>
        </w:rPr>
        <w:t>E12</w:t>
      </w:r>
      <w:r>
        <w:rPr>
          <w:rFonts w:ascii="Times New Roman" w:hAnsi="Times New Roman" w:eastAsia="PingFang SC"/>
          <w:b w:val="0"/>
          <w:i w:val="0"/>
          <w:sz w:val="21"/>
        </w:rPr>
        <w:t xml:space="preserve"> 核验直接差异。审稿人没有指定篇目，不能称这些是其指定引用。</w:t>
      </w:r>
    </w:p>
    <w:p>
      <w:r>
        <w:br w:type="page"/>
      </w:r>
    </w:p>
    <w:p>
      <w:pPr>
        <w:pStyle w:val="Heading1"/>
      </w:pPr>
      <w:r>
        <w:t>二、预计补充的实验：怎么做、多大规模、回答什么</w:t>
      </w:r>
    </w:p>
    <w:p>
      <w:r>
        <w:rPr>
          <w:rFonts w:ascii="Times New Roman" w:hAnsi="Times New Roman" w:eastAsia="PingFang SC"/>
          <w:b/>
          <w:i w:val="0"/>
          <w:sz w:val="21"/>
        </w:rPr>
        <w:t>先明确计数单位，再讨论预算。训练次数、评估次数、模型权重数和真实照片数不能混加。</w:t>
      </w:r>
    </w:p>
    <w:p>
      <w:pPr>
        <w:pStyle w:val="Heading2"/>
      </w:pPr>
      <w:r>
        <w:t>2.1 所有实验共同遵守的口径</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1F3B73"/>
          </w:tcPr>
          <w:p>
            <w:pPr>
              <w:spacing w:after="40"/>
            </w:pPr>
            <w:r>
              <w:rPr>
                <w:b/>
                <w:color w:val="FFFFFF"/>
              </w:rPr>
            </w:r>
            <w:r>
              <w:rPr>
                <w:rFonts w:ascii="Times New Roman" w:hAnsi="Times New Roman" w:eastAsia="PingFang SC"/>
                <w:b/>
                <w:i w:val="0"/>
                <w:color w:val="FFFFFF"/>
                <w:sz w:val="19"/>
              </w:rPr>
              <w:t>项目</w:t>
            </w:r>
          </w:p>
        </w:tc>
        <w:tc>
          <w:tcPr>
            <w:tcW w:type="dxa" w:w="4706"/>
            <w:shd w:val="clear" w:fill="1F3B73"/>
          </w:tcPr>
          <w:p>
            <w:pPr>
              <w:spacing w:after="40"/>
            </w:pPr>
            <w:r>
              <w:rPr>
                <w:b/>
                <w:color w:val="FFFFFF"/>
              </w:rPr>
            </w:r>
            <w:r>
              <w:rPr>
                <w:rFonts w:ascii="Times New Roman" w:hAnsi="Times New Roman" w:eastAsia="PingFang SC"/>
                <w:b/>
                <w:i w:val="0"/>
                <w:color w:val="FFFFFF"/>
                <w:sz w:val="19"/>
              </w:rPr>
              <w:t>会议建议 / 约束</w:t>
            </w:r>
          </w:p>
        </w:tc>
      </w:tr>
      <w:tr>
        <w:tc>
          <w:tcPr>
            <w:tcW w:type="dxa" w:w="4706"/>
          </w:tcPr>
          <w:p>
            <w:pPr>
              <w:spacing w:after="40"/>
            </w:pPr>
            <w:r/>
            <w:r>
              <w:rPr>
                <w:rFonts w:ascii="Times New Roman" w:hAnsi="Times New Roman" w:eastAsia="PingFang SC"/>
                <w:b w:val="0"/>
                <w:i w:val="0"/>
                <w:sz w:val="19"/>
              </w:rPr>
              <w:t>数据与模型</w:t>
            </w:r>
          </w:p>
        </w:tc>
        <w:tc>
          <w:tcPr>
            <w:tcW w:type="dxa" w:w="4706"/>
          </w:tcPr>
          <w:p>
            <w:pPr>
              <w:spacing w:after="40"/>
            </w:pPr>
            <w:r/>
            <w:r>
              <w:rPr>
                <w:rFonts w:ascii="Times New Roman" w:hAnsi="Times New Roman" w:eastAsia="PingFang SC"/>
                <w:b w:val="0"/>
                <w:i w:val="0"/>
                <w:sz w:val="19"/>
              </w:rPr>
              <w:t xml:space="preserve">Tongji、IITD、AISEC；3 个掌纹模型及 4 个通用 CNN，共 </w:t>
            </w:r>
            <w:r>
              <w:rPr>
                <w:rFonts w:ascii="Times New Roman" w:hAnsi="Times New Roman" w:eastAsia="PingFang SC"/>
                <w:b/>
                <w:i w:val="0"/>
                <w:sz w:val="19"/>
              </w:rPr>
              <w:t>21 个域×模型单元</w:t>
            </w:r>
            <w:r>
              <w:rPr>
                <w:rFonts w:ascii="Times New Roman" w:hAnsi="Times New Roman" w:eastAsia="PingFang SC"/>
                <w:b w:val="0"/>
                <w:i w:val="0"/>
                <w:sz w:val="19"/>
              </w:rPr>
              <w:t>。数量、标签与 session 以实际资产为准</w:t>
            </w:r>
          </w:p>
        </w:tc>
      </w:tr>
      <w:tr>
        <w:tc>
          <w:tcPr>
            <w:tcW w:type="dxa" w:w="4706"/>
            <w:shd w:val="clear" w:fill="EEF3FA"/>
          </w:tcPr>
          <w:p>
            <w:pPr>
              <w:spacing w:after="40"/>
            </w:pPr>
            <w:r/>
            <w:r>
              <w:rPr>
                <w:rFonts w:ascii="Times New Roman" w:hAnsi="Times New Roman" w:eastAsia="PingFang SC"/>
                <w:b w:val="0"/>
                <w:i w:val="0"/>
                <w:sz w:val="19"/>
              </w:rPr>
              <w:t>重复性</w:t>
            </w:r>
          </w:p>
        </w:tc>
        <w:tc>
          <w:tcPr>
            <w:tcW w:type="dxa" w:w="4706"/>
            <w:shd w:val="clear" w:fill="EEF3FA"/>
          </w:tcPr>
          <w:p>
            <w:pPr>
              <w:spacing w:after="40"/>
            </w:pPr>
            <w:r/>
            <w:r>
              <w:rPr>
                <w:rFonts w:ascii="Times New Roman" w:hAnsi="Times New Roman" w:eastAsia="PingFang SC"/>
                <w:b w:val="0"/>
                <w:i w:val="0"/>
                <w:sz w:val="19"/>
              </w:rPr>
              <w:t xml:space="preserve">补丁训练默认 </w:t>
            </w:r>
            <w:r>
              <w:rPr>
                <w:rFonts w:ascii="Times New Roman" w:hAnsi="Times New Roman" w:eastAsia="PingFang SC"/>
                <w:b/>
                <w:i w:val="0"/>
                <w:sz w:val="19"/>
              </w:rPr>
              <w:t>3 个种子：0、1、42</w:t>
            </w:r>
            <w:r>
              <w:rPr>
                <w:rFonts w:ascii="Times New Roman" w:hAnsi="Times New Roman" w:eastAsia="PingFang SC"/>
                <w:b w:val="0"/>
                <w:i w:val="0"/>
                <w:sz w:val="19"/>
              </w:rPr>
              <w:t xml:space="preserve">；定向默认每域 </w:t>
            </w:r>
            <w:r>
              <w:rPr>
                <w:rFonts w:ascii="Times New Roman" w:hAnsi="Times New Roman" w:eastAsia="PingFang SC"/>
                <w:b/>
                <w:i w:val="0"/>
                <w:sz w:val="19"/>
              </w:rPr>
              <w:t>3 个真实目标</w:t>
            </w:r>
            <w:r>
              <w:rPr>
                <w:rFonts w:ascii="Times New Roman" w:hAnsi="Times New Roman" w:eastAsia="PingFang SC"/>
                <w:b w:val="0"/>
                <w:i w:val="0"/>
                <w:sz w:val="19"/>
              </w:rPr>
              <w:t>，不能按测试成绩挑目标</w:t>
            </w:r>
          </w:p>
        </w:tc>
      </w:tr>
      <w:tr>
        <w:tc>
          <w:tcPr>
            <w:tcW w:type="dxa" w:w="4706"/>
          </w:tcPr>
          <w:p>
            <w:pPr>
              <w:spacing w:after="40"/>
            </w:pPr>
            <w:r/>
            <w:r>
              <w:rPr>
                <w:rFonts w:ascii="Times New Roman" w:hAnsi="Times New Roman" w:eastAsia="PingFang SC"/>
                <w:b w:val="0"/>
                <w:i w:val="0"/>
                <w:sz w:val="19"/>
              </w:rPr>
              <w:t>核心方法计数</w:t>
            </w:r>
          </w:p>
        </w:tc>
        <w:tc>
          <w:tcPr>
            <w:tcW w:type="dxa" w:w="4706"/>
          </w:tcPr>
          <w:p>
            <w:pPr>
              <w:spacing w:after="40"/>
            </w:pPr>
            <w:r/>
            <w:r>
              <w:rPr>
                <w:rFonts w:ascii="Times New Roman" w:hAnsi="Times New Roman" w:eastAsia="PingFang SC"/>
                <w:b w:val="0"/>
                <w:i w:val="0"/>
                <w:sz w:val="19"/>
              </w:rPr>
              <w:t xml:space="preserve">以下用 </w:t>
            </w:r>
            <w:r>
              <w:rPr>
                <w:rFonts w:ascii="Times New Roman" w:hAnsi="Times New Roman" w:eastAsia="PingFang SC"/>
                <w:b/>
                <w:i w:val="0"/>
                <w:sz w:val="19"/>
              </w:rPr>
              <w:t>3 种方法</w:t>
            </w:r>
            <w:r>
              <w:rPr>
                <w:rFonts w:ascii="Times New Roman" w:hAnsi="Times New Roman" w:eastAsia="PingFang SC"/>
                <w:b w:val="0"/>
                <w:i w:val="0"/>
                <w:sz w:val="19"/>
              </w:rPr>
              <w:t>估算：主方法、匹配十字 EOT、通用局部 PGD。CSPA 原作、CAP 等另核能力与成本，不在这三种里偷换名称</w:t>
            </w:r>
          </w:p>
        </w:tc>
      </w:tr>
      <w:tr>
        <w:tc>
          <w:tcPr>
            <w:tcW w:type="dxa" w:w="4706"/>
            <w:shd w:val="clear" w:fill="EEF3FA"/>
          </w:tcPr>
          <w:p>
            <w:pPr>
              <w:spacing w:after="40"/>
            </w:pPr>
            <w:r/>
            <w:r>
              <w:rPr>
                <w:rFonts w:ascii="Times New Roman" w:hAnsi="Times New Roman" w:eastAsia="PingFang SC"/>
                <w:b w:val="0"/>
                <w:i w:val="0"/>
                <w:sz w:val="19"/>
              </w:rPr>
              <w:t>面积</w:t>
            </w:r>
          </w:p>
        </w:tc>
        <w:tc>
          <w:tcPr>
            <w:tcW w:type="dxa" w:w="4706"/>
            <w:shd w:val="clear" w:fill="EEF3FA"/>
          </w:tcPr>
          <w:p>
            <w:pPr>
              <w:spacing w:after="40"/>
            </w:pPr>
            <w:r/>
            <w:r>
              <w:rPr>
                <w:rFonts w:ascii="Consolas" w:hAnsi="Consolas" w:eastAsia="PingFang SC"/>
                <w:b w:val="0"/>
                <w:i w:val="0"/>
                <w:color w:val="A31D1D"/>
                <w:sz w:val="18"/>
              </w:rPr>
              <w:t>128×128</w:t>
            </w:r>
            <w:r>
              <w:rPr>
                <w:rFonts w:ascii="Times New Roman" w:hAnsi="Times New Roman" w:eastAsia="PingFang SC"/>
                <w:b w:val="0"/>
                <w:i w:val="0"/>
                <w:sz w:val="19"/>
              </w:rPr>
              <w:t xml:space="preserve"> ROI 上共同上限候选 </w:t>
            </w:r>
            <w:r>
              <w:rPr>
                <w:rFonts w:ascii="Times New Roman" w:hAnsi="Times New Roman" w:eastAsia="PingFang SC"/>
                <w:b/>
                <w:i w:val="0"/>
                <w:sz w:val="19"/>
              </w:rPr>
              <w:t>784 px（约 4.79%）</w:t>
            </w:r>
            <w:r>
              <w:rPr>
                <w:rFonts w:ascii="Times New Roman" w:hAnsi="Times New Roman" w:eastAsia="PingFang SC"/>
                <w:b w:val="0"/>
                <w:i w:val="0"/>
                <w:sz w:val="19"/>
              </w:rPr>
              <w:t>，完整形状不得超预算，离散面积误差不超过 2%；不可行就先修改共同预算方案，不删像素凑“方形”</w:t>
            </w:r>
          </w:p>
        </w:tc>
      </w:tr>
      <w:tr>
        <w:tc>
          <w:tcPr>
            <w:tcW w:type="dxa" w:w="4706"/>
          </w:tcPr>
          <w:p>
            <w:pPr>
              <w:spacing w:after="40"/>
            </w:pPr>
            <w:r/>
            <w:r>
              <w:rPr>
                <w:rFonts w:ascii="Times New Roman" w:hAnsi="Times New Roman" w:eastAsia="PingFang SC"/>
                <w:b w:val="0"/>
                <w:i w:val="0"/>
                <w:sz w:val="19"/>
              </w:rPr>
              <w:t>数据隔离</w:t>
            </w:r>
          </w:p>
        </w:tc>
        <w:tc>
          <w:tcPr>
            <w:tcW w:type="dxa" w:w="4706"/>
          </w:tcPr>
          <w:p>
            <w:pPr>
              <w:spacing w:after="40"/>
            </w:pPr>
            <w:r/>
            <w:r>
              <w:rPr>
                <w:rFonts w:ascii="Times New Roman" w:hAnsi="Times New Roman" w:eastAsia="PingFang SC"/>
                <w:b w:val="0"/>
                <w:i w:val="0"/>
                <w:sz w:val="19"/>
              </w:rPr>
              <w:t>训练/开发选择/阈值校准/最终测试用途明确；真实图库与 probe 不重图。大规模搜索只读开发信息</w:t>
            </w:r>
          </w:p>
        </w:tc>
      </w:tr>
      <w:tr>
        <w:tc>
          <w:tcPr>
            <w:tcW w:type="dxa" w:w="4706"/>
            <w:shd w:val="clear" w:fill="EEF3FA"/>
          </w:tcPr>
          <w:p>
            <w:pPr>
              <w:spacing w:after="40"/>
            </w:pPr>
            <w:r/>
            <w:r>
              <w:rPr>
                <w:rFonts w:ascii="Times New Roman" w:hAnsi="Times New Roman" w:eastAsia="PingFang SC"/>
                <w:b w:val="0"/>
                <w:i w:val="0"/>
                <w:sz w:val="19"/>
              </w:rPr>
              <w:t>报告</w:t>
            </w:r>
          </w:p>
        </w:tc>
        <w:tc>
          <w:tcPr>
            <w:tcW w:type="dxa" w:w="4706"/>
            <w:shd w:val="clear" w:fill="EEF3FA"/>
          </w:tcPr>
          <w:p>
            <w:pPr>
              <w:spacing w:after="40"/>
            </w:pPr>
            <w:r/>
            <w:r>
              <w:rPr>
                <w:rFonts w:ascii="Times New Roman" w:hAnsi="Times New Roman" w:eastAsia="PingFang SC"/>
                <w:b w:val="0"/>
                <w:i w:val="0"/>
                <w:sz w:val="19"/>
              </w:rPr>
              <w:t>成功数/有效数、洁净性能、实际面积、区间、种子与成本一起报；重复照片按人聚类，不能当独立人</w:t>
            </w:r>
          </w:p>
        </w:tc>
      </w:tr>
    </w:tbl>
    <w:p>
      <w:pPr>
        <w:spacing w:after="80"/>
      </w:pPr>
    </w:p>
    <w:p>
      <w:pPr>
        <w:pStyle w:val="EvidenceQuote"/>
      </w:pPr>
      <w:r>
        <w:rPr>
          <w:rFonts w:ascii="Times New Roman" w:hAnsi="Times New Roman" w:eastAsia="PingFang SC"/>
          <w:b/>
          <w:i/>
          <w:sz w:val="20"/>
        </w:rPr>
        <w:t>规模说明：</w:t>
      </w:r>
      <w:r>
        <w:rPr>
          <w:rFonts w:ascii="Times New Roman" w:hAnsi="Times New Roman" w:eastAsia="PingFang SC"/>
          <w:b w:val="0"/>
          <w:i/>
          <w:sz w:val="20"/>
        </w:rPr>
        <w:t xml:space="preserve"> 下列“掌纹机制面板”用于首先解释问题，</w:t>
      </w:r>
      <w:r>
        <w:rPr>
          <w:rFonts w:ascii="Times New Roman" w:hAnsi="Times New Roman" w:eastAsia="PingFang SC"/>
          <w:b/>
          <w:i/>
          <w:sz w:val="20"/>
        </w:rPr>
        <w:t>不是取消 full 的后续覆盖</w:t>
      </w:r>
      <w:r>
        <w:rPr>
          <w:rFonts w:ascii="Times New Roman" w:hAnsi="Times New Roman" w:eastAsia="PingFang SC"/>
          <w:b w:val="0"/>
          <w:i/>
          <w:sz w:val="20"/>
        </w:rPr>
        <w:t xml:space="preserve">。数字是本次会议提出的可计算预算示例，尚未修改 </w:t>
      </w:r>
      <w:r>
        <w:rPr>
          <w:rFonts w:ascii="Consolas" w:hAnsi="Consolas" w:eastAsia="PingFang SC"/>
          <w:b w:val="0"/>
          <w:i/>
          <w:color w:val="A31D1D"/>
          <w:sz w:val="19"/>
        </w:rPr>
        <w:t>plan/</w:t>
      </w:r>
      <w:r>
        <w:rPr>
          <w:rFonts w:ascii="Times New Roman" w:hAnsi="Times New Roman" w:eastAsia="PingFang SC"/>
          <w:b w:val="0"/>
          <w:i/>
          <w:sz w:val="20"/>
        </w:rPr>
        <w:t xml:space="preserve"> 的冻结实例；同科学配置可复用，不能把下列各行直接相加作为总训练量。</w:t>
      </w:r>
    </w:p>
    <w:p>
      <w:pPr>
        <w:pStyle w:val="Heading2"/>
      </w:pPr>
      <w:r>
        <w:t>2.2 A 组｜直接回应部署与评估协议</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1F3B73"/>
          </w:tcPr>
          <w:p>
            <w:pPr>
              <w:spacing w:after="40"/>
            </w:pPr>
            <w:r>
              <w:rPr>
                <w:b/>
                <w:color w:val="FFFFFF"/>
              </w:rPr>
            </w:r>
            <w:r>
              <w:rPr>
                <w:rFonts w:ascii="Times New Roman" w:hAnsi="Times New Roman" w:eastAsia="PingFang SC"/>
                <w:b/>
                <w:i w:val="0"/>
                <w:color w:val="FFFFFF"/>
                <w:sz w:val="19"/>
              </w:rPr>
              <w:t>实验</w:t>
            </w:r>
          </w:p>
        </w:tc>
        <w:tc>
          <w:tcPr>
            <w:tcW w:type="dxa" w:w="2353"/>
            <w:shd w:val="clear" w:fill="1F3B73"/>
          </w:tcPr>
          <w:p>
            <w:pPr>
              <w:spacing w:after="40"/>
            </w:pPr>
            <w:r>
              <w:rPr>
                <w:b/>
                <w:color w:val="FFFFFF"/>
              </w:rPr>
            </w:r>
            <w:r>
              <w:rPr>
                <w:rFonts w:ascii="Times New Roman" w:hAnsi="Times New Roman" w:eastAsia="PingFang SC"/>
                <w:b/>
                <w:i w:val="0"/>
                <w:color w:val="FFFFFF"/>
                <w:sz w:val="19"/>
              </w:rPr>
              <w:t>怎么做</w:t>
            </w:r>
          </w:p>
        </w:tc>
        <w:tc>
          <w:tcPr>
            <w:tcW w:type="dxa" w:w="2353"/>
            <w:shd w:val="clear" w:fill="1F3B73"/>
          </w:tcPr>
          <w:p>
            <w:pPr>
              <w:spacing w:after="40"/>
            </w:pPr>
            <w:r>
              <w:rPr>
                <w:b/>
                <w:color w:val="FFFFFF"/>
              </w:rPr>
            </w:r>
            <w:r>
              <w:rPr>
                <w:rFonts w:ascii="Times New Roman" w:hAnsi="Times New Roman" w:eastAsia="PingFang SC"/>
                <w:b/>
                <w:i w:val="0"/>
                <w:color w:val="FFFFFF"/>
                <w:sz w:val="19"/>
              </w:rPr>
              <w:t>预计规模</w:t>
            </w:r>
          </w:p>
        </w:tc>
        <w:tc>
          <w:tcPr>
            <w:tcW w:type="dxa" w:w="2353"/>
            <w:shd w:val="clear" w:fill="1F3B73"/>
          </w:tcPr>
          <w:p>
            <w:pPr>
              <w:spacing w:after="40"/>
            </w:pPr>
            <w:r>
              <w:rPr>
                <w:b/>
                <w:color w:val="FFFFFF"/>
              </w:rPr>
            </w:r>
            <w:r>
              <w:rPr>
                <w:rFonts w:ascii="Times New Roman" w:hAnsi="Times New Roman" w:eastAsia="PingFang SC"/>
                <w:b/>
                <w:i w:val="0"/>
                <w:color w:val="FFFFFF"/>
                <w:sz w:val="19"/>
              </w:rPr>
              <w:t>回答的问题</w:t>
            </w:r>
          </w:p>
        </w:tc>
      </w:tr>
      <w:tr>
        <w:tc>
          <w:tcPr>
            <w:tcW w:type="dxa" w:w="2353"/>
          </w:tcPr>
          <w:p>
            <w:pPr>
              <w:spacing w:after="40"/>
            </w:pPr>
            <w:r/>
            <w:r>
              <w:rPr>
                <w:rFonts w:ascii="Times New Roman" w:hAnsi="Times New Roman" w:eastAsia="PingFang SC"/>
                <w:b/>
                <w:i w:val="0"/>
                <w:sz w:val="19"/>
              </w:rPr>
              <w:t>E01 数据协议与洁净基线</w:t>
            </w:r>
          </w:p>
        </w:tc>
        <w:tc>
          <w:tcPr>
            <w:tcW w:type="dxa" w:w="2353"/>
          </w:tcPr>
          <w:p>
            <w:pPr>
              <w:spacing w:after="40"/>
            </w:pPr>
            <w:r/>
            <w:r>
              <w:rPr>
                <w:rFonts w:ascii="Times New Roman" w:hAnsi="Times New Roman" w:eastAsia="PingFang SC"/>
                <w:b w:val="0"/>
                <w:i w:val="0"/>
                <w:sz w:val="19"/>
              </w:rPr>
              <w:t>核对标签、掌/人/session、角色交集、权重来源；按同一适配器测洁净分类与验证</w:t>
            </w:r>
          </w:p>
        </w:tc>
        <w:tc>
          <w:tcPr>
            <w:tcW w:type="dxa" w:w="2353"/>
          </w:tcPr>
          <w:p>
            <w:pPr>
              <w:spacing w:after="40"/>
            </w:pPr>
            <w:r/>
            <w:r>
              <w:rPr>
                <w:rFonts w:ascii="Times New Roman" w:hAnsi="Times New Roman" w:eastAsia="PingFang SC"/>
                <w:b/>
                <w:i w:val="0"/>
                <w:sz w:val="19"/>
              </w:rPr>
              <w:t>21 个模型资产/洁净单元</w:t>
            </w:r>
            <w:r>
              <w:rPr>
                <w:rFonts w:ascii="Times New Roman" w:hAnsi="Times New Roman" w:eastAsia="PingFang SC"/>
                <w:b w:val="0"/>
                <w:i w:val="0"/>
                <w:sz w:val="19"/>
              </w:rPr>
              <w:t xml:space="preserve">；缺权重则训练。若识别器也做 3 个种子，为 </w:t>
            </w:r>
            <w:r>
              <w:rPr>
                <w:rFonts w:ascii="Times New Roman" w:hAnsi="Times New Roman" w:eastAsia="PingFang SC"/>
                <w:b/>
                <w:i w:val="0"/>
                <w:sz w:val="19"/>
              </w:rPr>
              <w:t>63 份权重</w:t>
            </w:r>
            <w:r>
              <w:rPr>
                <w:rFonts w:ascii="Times New Roman" w:hAnsi="Times New Roman" w:eastAsia="PingFang SC"/>
                <w:b w:val="0"/>
                <w:i w:val="0"/>
                <w:sz w:val="19"/>
              </w:rPr>
              <w:t>，不是当前已有资产</w:t>
            </w:r>
          </w:p>
        </w:tc>
        <w:tc>
          <w:tcPr>
            <w:tcW w:type="dxa" w:w="2353"/>
          </w:tcPr>
          <w:p>
            <w:pPr>
              <w:spacing w:after="40"/>
            </w:pPr>
            <w:r/>
            <w:r>
              <w:rPr>
                <w:rFonts w:ascii="Times New Roman" w:hAnsi="Times New Roman" w:eastAsia="PingFang SC"/>
                <w:b w:val="0"/>
                <w:i w:val="0"/>
                <w:sz w:val="19"/>
              </w:rPr>
              <w:t>身份划分是否自洽？高 ASR 是否建立在弱识别器/小分母上？R2-3、R3-3</w:t>
            </w:r>
          </w:p>
        </w:tc>
      </w:tr>
      <w:tr>
        <w:tc>
          <w:tcPr>
            <w:tcW w:type="dxa" w:w="2353"/>
            <w:shd w:val="clear" w:fill="EEF3FA"/>
          </w:tcPr>
          <w:p>
            <w:pPr>
              <w:spacing w:after="40"/>
            </w:pPr>
            <w:r/>
            <w:r>
              <w:rPr>
                <w:rFonts w:ascii="Times New Roman" w:hAnsi="Times New Roman" w:eastAsia="PingFang SC"/>
                <w:b/>
                <w:i w:val="0"/>
                <w:sz w:val="19"/>
              </w:rPr>
              <w:t>E02 公平预算下的主表重跑</w:t>
            </w:r>
          </w:p>
        </w:tc>
        <w:tc>
          <w:tcPr>
            <w:tcW w:type="dxa" w:w="2353"/>
            <w:shd w:val="clear" w:fill="EEF3FA"/>
          </w:tcPr>
          <w:p>
            <w:pPr>
              <w:spacing w:after="40"/>
            </w:pPr>
            <w:r/>
            <w:r>
              <w:rPr>
                <w:rFonts w:ascii="Times New Roman" w:hAnsi="Times New Roman" w:eastAsia="PingFang SC"/>
                <w:b w:val="0"/>
                <w:i w:val="0"/>
                <w:sz w:val="19"/>
              </w:rPr>
              <w:t>固定部署；三方法共享数据、支撑、评估器；同时记录优化/查询/调参成本</w:t>
            </w:r>
          </w:p>
        </w:tc>
        <w:tc>
          <w:tcPr>
            <w:tcW w:type="dxa" w:w="2353"/>
            <w:shd w:val="clear" w:fill="EEF3FA"/>
          </w:tcPr>
          <w:p>
            <w:pPr>
              <w:spacing w:after="40"/>
            </w:pPr>
            <w:r/>
            <w:r>
              <w:rPr>
                <w:rFonts w:ascii="Times New Roman" w:hAnsi="Times New Roman" w:eastAsia="PingFang SC"/>
                <w:b w:val="0"/>
                <w:i w:val="0"/>
                <w:sz w:val="19"/>
              </w:rPr>
              <w:t>未定向：3 域×7 模型×3 方法×3 种子＝</w:t>
            </w:r>
            <w:r>
              <w:rPr>
                <w:rFonts w:ascii="Times New Roman" w:hAnsi="Times New Roman" w:eastAsia="PingFang SC"/>
                <w:b/>
                <w:i w:val="0"/>
                <w:sz w:val="19"/>
              </w:rPr>
              <w:t>189 次训练</w:t>
            </w:r>
            <w:r>
              <w:rPr>
                <w:rFonts w:ascii="Times New Roman" w:hAnsi="Times New Roman" w:eastAsia="PingFang SC"/>
                <w:b w:val="0"/>
                <w:i w:val="0"/>
                <w:sz w:val="19"/>
              </w:rPr>
              <w:t xml:space="preserve">；3 个定向目标再 </w:t>
            </w:r>
            <w:r>
              <w:rPr>
                <w:rFonts w:ascii="Times New Roman" w:hAnsi="Times New Roman" w:eastAsia="PingFang SC"/>
                <w:b/>
                <w:i w:val="0"/>
                <w:sz w:val="19"/>
              </w:rPr>
              <w:t>567 次</w:t>
            </w:r>
            <w:r>
              <w:rPr>
                <w:rFonts w:ascii="Times New Roman" w:hAnsi="Times New Roman" w:eastAsia="PingFang SC"/>
                <w:b w:val="0"/>
                <w:i w:val="0"/>
                <w:sz w:val="19"/>
              </w:rPr>
              <w:t xml:space="preserve">；基础小计 </w:t>
            </w:r>
            <w:r>
              <w:rPr>
                <w:rFonts w:ascii="Times New Roman" w:hAnsi="Times New Roman" w:eastAsia="PingFang SC"/>
                <w:b/>
                <w:i w:val="0"/>
                <w:sz w:val="19"/>
              </w:rPr>
              <w:t>756 次</w:t>
            </w:r>
          </w:p>
        </w:tc>
        <w:tc>
          <w:tcPr>
            <w:tcW w:type="dxa" w:w="2353"/>
            <w:shd w:val="clear" w:fill="EEF3FA"/>
          </w:tcPr>
          <w:p>
            <w:pPr>
              <w:spacing w:after="40"/>
            </w:pPr>
            <w:r/>
            <w:r>
              <w:rPr>
                <w:rFonts w:ascii="Times New Roman" w:hAnsi="Times New Roman" w:eastAsia="PingFang SC"/>
                <w:b w:val="0"/>
                <w:i w:val="0"/>
                <w:sz w:val="19"/>
              </w:rPr>
              <w:t>固定印刷约束下还有多强？原高分是否依赖测试期调整？R2-1、R2-4</w:t>
            </w:r>
          </w:p>
        </w:tc>
      </w:tr>
      <w:tr>
        <w:tc>
          <w:tcPr>
            <w:tcW w:type="dxa" w:w="2353"/>
          </w:tcPr>
          <w:p>
            <w:pPr>
              <w:spacing w:after="40"/>
            </w:pPr>
            <w:r/>
            <w:r>
              <w:rPr>
                <w:rFonts w:ascii="Times New Roman" w:hAnsi="Times New Roman" w:eastAsia="PingFang SC"/>
                <w:b/>
                <w:i w:val="0"/>
                <w:sz w:val="19"/>
              </w:rPr>
              <w:t>E03 输入条件与固定部署差距</w:t>
            </w:r>
          </w:p>
        </w:tc>
        <w:tc>
          <w:tcPr>
            <w:tcW w:type="dxa" w:w="2353"/>
          </w:tcPr>
          <w:p>
            <w:pPr>
              <w:spacing w:after="40"/>
            </w:pPr>
            <w:r/>
            <w:r>
              <w:rPr>
                <w:rFonts w:ascii="Times New Roman" w:hAnsi="Times New Roman" w:eastAsia="PingFang SC"/>
                <w:b w:val="0"/>
                <w:i w:val="0"/>
                <w:sz w:val="19"/>
              </w:rPr>
              <w:t>同一含 ASIT 的补丁测 D/G/P/GP，再补 G、GP 的固定尺度版本；测实际覆盖面积</w:t>
            </w:r>
          </w:p>
        </w:tc>
        <w:tc>
          <w:tcPr>
            <w:tcW w:type="dxa" w:w="2353"/>
          </w:tcPr>
          <w:p>
            <w:pPr>
              <w:spacing w:after="40"/>
            </w:pPr>
            <w:r/>
            <w:r>
              <w:rPr>
                <w:rFonts w:ascii="Times New Roman" w:hAnsi="Times New Roman" w:eastAsia="PingFang SC"/>
                <w:b w:val="0"/>
                <w:i w:val="0"/>
                <w:sz w:val="19"/>
              </w:rPr>
              <w:t>不另训已有补丁。未定向完整参照 3 域×7 模型×3 种子＝</w:t>
            </w:r>
            <w:r>
              <w:rPr>
                <w:rFonts w:ascii="Times New Roman" w:hAnsi="Times New Roman" w:eastAsia="PingFang SC"/>
                <w:b/>
                <w:i w:val="0"/>
                <w:sz w:val="19"/>
              </w:rPr>
              <w:t>63 个 artifact</w:t>
            </w:r>
            <w:r>
              <w:rPr>
                <w:rFonts w:ascii="Times New Roman" w:hAnsi="Times New Roman" w:eastAsia="PingFang SC"/>
                <w:b w:val="0"/>
                <w:i w:val="0"/>
                <w:sz w:val="19"/>
              </w:rPr>
              <w:t xml:space="preserve">，每个 6 条路径，共 </w:t>
            </w:r>
            <w:r>
              <w:rPr>
                <w:rFonts w:ascii="Times New Roman" w:hAnsi="Times New Roman" w:eastAsia="PingFang SC"/>
                <w:b/>
                <w:i w:val="0"/>
                <w:sz w:val="19"/>
              </w:rPr>
              <w:t>378 次评估</w:t>
            </w:r>
            <w:r>
              <w:rPr>
                <w:rFonts w:ascii="Times New Roman" w:hAnsi="Times New Roman" w:eastAsia="PingFang SC"/>
                <w:b w:val="0"/>
                <w:i w:val="0"/>
                <w:sz w:val="19"/>
              </w:rPr>
              <w:t>；无 ASIT 不强行补假结果</w:t>
            </w:r>
          </w:p>
        </w:tc>
        <w:tc>
          <w:tcPr>
            <w:tcW w:type="dxa" w:w="2353"/>
          </w:tcPr>
          <w:p>
            <w:pPr>
              <w:spacing w:after="40"/>
            </w:pPr>
            <w:r/>
            <w:r>
              <w:rPr>
                <w:rFonts w:ascii="Times New Roman" w:hAnsi="Times New Roman" w:eastAsia="PingFang SC"/>
                <w:b w:val="0"/>
                <w:i w:val="0"/>
                <w:sz w:val="19"/>
              </w:rPr>
              <w:t>位置、尺度、亮度分别贡献多少？差距是否只是面积变化？R2-1、R3-1 / H1</w:t>
            </w:r>
          </w:p>
        </w:tc>
      </w:tr>
      <w:tr>
        <w:tc>
          <w:tcPr>
            <w:tcW w:type="dxa" w:w="2353"/>
            <w:shd w:val="clear" w:fill="EEF3FA"/>
          </w:tcPr>
          <w:p>
            <w:pPr>
              <w:spacing w:after="40"/>
            </w:pPr>
            <w:r/>
            <w:r>
              <w:rPr>
                <w:rFonts w:ascii="Times New Roman" w:hAnsi="Times New Roman" w:eastAsia="PingFang SC"/>
                <w:b/>
                <w:i w:val="0"/>
                <w:sz w:val="19"/>
              </w:rPr>
              <w:t>E04 分类与验证风险分离</w:t>
            </w:r>
          </w:p>
        </w:tc>
        <w:tc>
          <w:tcPr>
            <w:tcW w:type="dxa" w:w="2353"/>
            <w:shd w:val="clear" w:fill="EEF3FA"/>
          </w:tcPr>
          <w:p>
            <w:pPr>
              <w:spacing w:after="40"/>
            </w:pPr>
            <w:r/>
            <w:r>
              <w:rPr>
                <w:rFonts w:ascii="Times New Roman" w:hAnsi="Times New Roman" w:eastAsia="PingFang SC"/>
                <w:b w:val="0"/>
                <w:i w:val="0"/>
                <w:sz w:val="19"/>
              </w:rPr>
              <w:t>固定图库，独立干净校准阈值；对 E02 补丁测 FMR/FNMR、ROC/DET、分类/验证联合事件；另训本人拒绝与目标接受目标</w:t>
            </w:r>
          </w:p>
        </w:tc>
        <w:tc>
          <w:tcPr>
            <w:tcW w:type="dxa" w:w="2353"/>
            <w:shd w:val="clear" w:fill="EEF3FA"/>
          </w:tcPr>
          <w:p>
            <w:pPr>
              <w:spacing w:after="40"/>
            </w:pPr>
            <w:r/>
            <w:r>
              <w:rPr>
                <w:rFonts w:ascii="Times New Roman" w:hAnsi="Times New Roman" w:eastAsia="PingFang SC"/>
                <w:b w:val="0"/>
                <w:i w:val="0"/>
                <w:sz w:val="19"/>
              </w:rPr>
              <w:t>原补丁验证</w:t>
            </w:r>
            <w:r>
              <w:rPr>
                <w:rFonts w:ascii="Times New Roman" w:hAnsi="Times New Roman" w:eastAsia="PingFang SC"/>
                <w:b/>
                <w:i w:val="0"/>
                <w:sz w:val="19"/>
              </w:rPr>
              <w:t>不另训</w:t>
            </w:r>
            <w:r>
              <w:rPr>
                <w:rFonts w:ascii="Times New Roman" w:hAnsi="Times New Roman" w:eastAsia="PingFang SC"/>
                <w:b w:val="0"/>
                <w:i w:val="0"/>
                <w:sz w:val="19"/>
              </w:rPr>
              <w:t>。验证专用：3 域×3 掌纹模型×3 方法×3 种子×（1 拒绝＋3 目标接受）＝</w:t>
            </w:r>
            <w:r>
              <w:rPr>
                <w:rFonts w:ascii="Times New Roman" w:hAnsi="Times New Roman" w:eastAsia="PingFang SC"/>
                <w:b/>
                <w:i w:val="0"/>
                <w:sz w:val="19"/>
              </w:rPr>
              <w:t>324 次训练</w:t>
            </w:r>
            <w:r>
              <w:rPr>
                <w:rFonts w:ascii="Times New Roman" w:hAnsi="Times New Roman" w:eastAsia="PingFang SC"/>
                <w:b w:val="0"/>
                <w:i w:val="0"/>
                <w:sz w:val="19"/>
              </w:rPr>
              <w:t xml:space="preserve">；扩至七模型且接口有效时总计 </w:t>
            </w:r>
            <w:r>
              <w:rPr>
                <w:rFonts w:ascii="Times New Roman" w:hAnsi="Times New Roman" w:eastAsia="PingFang SC"/>
                <w:b/>
                <w:i w:val="0"/>
                <w:sz w:val="19"/>
              </w:rPr>
              <w:t>756 次</w:t>
            </w:r>
            <w:r>
              <w:rPr>
                <w:rFonts w:ascii="Times New Roman" w:hAnsi="Times New Roman" w:eastAsia="PingFang SC"/>
                <w:b w:val="0"/>
                <w:i w:val="0"/>
                <w:sz w:val="19"/>
              </w:rPr>
              <w:t>，不是再加 756</w:t>
            </w:r>
          </w:p>
        </w:tc>
        <w:tc>
          <w:tcPr>
            <w:tcW w:type="dxa" w:w="2353"/>
            <w:shd w:val="clear" w:fill="EEF3FA"/>
          </w:tcPr>
          <w:p>
            <w:pPr>
              <w:spacing w:after="40"/>
            </w:pPr>
            <w:r/>
            <w:r>
              <w:rPr>
                <w:rFonts w:ascii="Times New Roman" w:hAnsi="Times New Roman" w:eastAsia="PingFang SC"/>
                <w:b w:val="0"/>
                <w:i w:val="0"/>
                <w:sz w:val="19"/>
              </w:rPr>
              <w:t>类标错是否真的能冒名？当前分类攻击是否低估验证攻击？R2-3、R3-3 / H3</w:t>
            </w:r>
          </w:p>
        </w:tc>
      </w:tr>
    </w:tbl>
    <w:p>
      <w:pPr>
        <w:spacing w:after="80"/>
      </w:pPr>
    </w:p>
    <w:p>
      <w:r>
        <w:rPr>
          <w:rFonts w:ascii="Times New Roman" w:hAnsi="Times New Roman" w:eastAsia="PingFang SC"/>
          <w:b w:val="0"/>
          <w:i w:val="0"/>
          <w:sz w:val="21"/>
        </w:rPr>
        <w:t>D＝固定几何/固定光度；G＝条件几何/固定光度；P＝固定几何/条件光度；GP＝两者均条件化。条件渲染可能更强，也可能更弱，</w:t>
      </w:r>
      <w:r>
        <w:rPr>
          <w:rFonts w:ascii="Times New Roman" w:hAnsi="Times New Roman" w:eastAsia="PingFang SC"/>
          <w:b/>
          <w:i w:val="0"/>
          <w:sz w:val="21"/>
        </w:rPr>
        <w:t>不是理论上界</w:t>
      </w:r>
      <w:r>
        <w:rPr>
          <w:rFonts w:ascii="Times New Roman" w:hAnsi="Times New Roman" w:eastAsia="PingFang SC"/>
          <w:b w:val="0"/>
          <w:i w:val="0"/>
          <w:sz w:val="21"/>
        </w:rPr>
        <w:t>。</w:t>
      </w:r>
    </w:p>
    <w:p>
      <w:r>
        <w:rPr>
          <w:rFonts w:ascii="Times New Roman" w:hAnsi="Times New Roman" w:eastAsia="PingFang SC"/>
          <w:b w:val="0"/>
          <w:i w:val="0"/>
          <w:sz w:val="21"/>
        </w:rPr>
        <w:t xml:space="preserve">E02 以每个域×模型一个固定、合格识别器估算。每新增一种同覆盖方法增加 </w:t>
      </w:r>
      <w:r>
        <w:rPr>
          <w:rFonts w:ascii="Times New Roman" w:hAnsi="Times New Roman" w:eastAsia="PingFang SC"/>
          <w:b/>
          <w:i w:val="0"/>
          <w:sz w:val="21"/>
        </w:rPr>
        <w:t>252 次补丁训练</w:t>
      </w:r>
      <w:r>
        <w:rPr>
          <w:rFonts w:ascii="Times New Roman" w:hAnsi="Times New Roman" w:eastAsia="PingFang SC"/>
          <w:b w:val="0"/>
          <w:i w:val="0"/>
          <w:sz w:val="21"/>
        </w:rPr>
        <w:t>；若再交叉多个识别器训练种子，需另乘相应倍数，不能隐藏成本。</w:t>
      </w:r>
    </w:p>
    <w:p>
      <w:pPr>
        <w:pStyle w:val="Heading2"/>
      </w:pPr>
      <w:r>
        <w:t>2.3 B 组｜解释创新是否真正成立</w:t>
      </w:r>
    </w:p>
    <w:p>
      <w:r>
        <w:rPr>
          <w:rFonts w:ascii="Times New Roman" w:hAnsi="Times New Roman" w:eastAsia="PingFang SC"/>
          <w:b/>
          <w:i w:val="0"/>
          <w:sz w:val="21"/>
        </w:rPr>
        <w:t>本组 E05–E08 的训练/评估数量均按未定向单模式估算；其他攻击目标和验证专用损失的扩展另计。</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1F3B73"/>
          </w:tcPr>
          <w:p>
            <w:pPr>
              <w:spacing w:after="40"/>
            </w:pPr>
            <w:r>
              <w:rPr>
                <w:b/>
                <w:color w:val="FFFFFF"/>
              </w:rPr>
            </w:r>
            <w:r>
              <w:rPr>
                <w:rFonts w:ascii="Times New Roman" w:hAnsi="Times New Roman" w:eastAsia="PingFang SC"/>
                <w:b/>
                <w:i w:val="0"/>
                <w:color w:val="FFFFFF"/>
                <w:sz w:val="19"/>
              </w:rPr>
              <w:t>实验</w:t>
            </w:r>
          </w:p>
        </w:tc>
        <w:tc>
          <w:tcPr>
            <w:tcW w:type="dxa" w:w="2353"/>
            <w:shd w:val="clear" w:fill="1F3B73"/>
          </w:tcPr>
          <w:p>
            <w:pPr>
              <w:spacing w:after="40"/>
            </w:pPr>
            <w:r>
              <w:rPr>
                <w:b/>
                <w:color w:val="FFFFFF"/>
              </w:rPr>
            </w:r>
            <w:r>
              <w:rPr>
                <w:rFonts w:ascii="Times New Roman" w:hAnsi="Times New Roman" w:eastAsia="PingFang SC"/>
                <w:b/>
                <w:i w:val="0"/>
                <w:color w:val="FFFFFF"/>
                <w:sz w:val="19"/>
              </w:rPr>
              <w:t>怎么做</w:t>
            </w:r>
          </w:p>
        </w:tc>
        <w:tc>
          <w:tcPr>
            <w:tcW w:type="dxa" w:w="2353"/>
            <w:shd w:val="clear" w:fill="1F3B73"/>
          </w:tcPr>
          <w:p>
            <w:pPr>
              <w:spacing w:after="40"/>
            </w:pPr>
            <w:r>
              <w:rPr>
                <w:b/>
                <w:color w:val="FFFFFF"/>
              </w:rPr>
            </w:r>
            <w:r>
              <w:rPr>
                <w:rFonts w:ascii="Times New Roman" w:hAnsi="Times New Roman" w:eastAsia="PingFang SC"/>
                <w:b/>
                <w:i w:val="0"/>
                <w:color w:val="FFFFFF"/>
                <w:sz w:val="19"/>
              </w:rPr>
              <w:t>预计规模</w:t>
            </w:r>
          </w:p>
        </w:tc>
        <w:tc>
          <w:tcPr>
            <w:tcW w:type="dxa" w:w="2353"/>
            <w:shd w:val="clear" w:fill="1F3B73"/>
          </w:tcPr>
          <w:p>
            <w:pPr>
              <w:spacing w:after="40"/>
            </w:pPr>
            <w:r>
              <w:rPr>
                <w:b/>
                <w:color w:val="FFFFFF"/>
              </w:rPr>
            </w:r>
            <w:r>
              <w:rPr>
                <w:rFonts w:ascii="Times New Roman" w:hAnsi="Times New Roman" w:eastAsia="PingFang SC"/>
                <w:b/>
                <w:i w:val="0"/>
                <w:color w:val="FFFFFF"/>
                <w:sz w:val="19"/>
              </w:rPr>
              <w:t>回答的问题</w:t>
            </w:r>
          </w:p>
        </w:tc>
      </w:tr>
      <w:tr>
        <w:tc>
          <w:tcPr>
            <w:tcW w:type="dxa" w:w="2353"/>
          </w:tcPr>
          <w:p>
            <w:pPr>
              <w:spacing w:after="40"/>
            </w:pPr>
            <w:r/>
            <w:r>
              <w:rPr>
                <w:rFonts w:ascii="Times New Roman" w:hAnsi="Times New Roman" w:eastAsia="PingFang SC"/>
                <w:b/>
                <w:i w:val="0"/>
                <w:sz w:val="19"/>
              </w:rPr>
              <w:t>E05 完整模块与特征语义消融</w:t>
            </w:r>
          </w:p>
        </w:tc>
        <w:tc>
          <w:tcPr>
            <w:tcW w:type="dxa" w:w="2353"/>
          </w:tcPr>
          <w:p>
            <w:pPr>
              <w:spacing w:after="40"/>
            </w:pPr>
            <w:r/>
            <w:r>
              <w:rPr>
                <w:rFonts w:ascii="Times New Roman" w:hAnsi="Times New Roman" w:eastAsia="PingFang SC"/>
                <w:b w:val="0"/>
                <w:i w:val="0"/>
                <w:sz w:val="19"/>
              </w:rPr>
              <w:t>ASIT/RaS/辅助项开关做 8 组合；4 个预训练辅助项组合各加随机冻结对照，共 12 配置；统一固定部署测试</w:t>
            </w:r>
          </w:p>
        </w:tc>
        <w:tc>
          <w:tcPr>
            <w:tcW w:type="dxa" w:w="2353"/>
          </w:tcPr>
          <w:p>
            <w:pPr>
              <w:spacing w:after="40"/>
            </w:pPr>
            <w:r/>
            <w:r>
              <w:rPr>
                <w:rFonts w:ascii="Times New Roman" w:hAnsi="Times New Roman" w:eastAsia="PingFang SC"/>
                <w:b w:val="0"/>
                <w:i w:val="0"/>
                <w:sz w:val="19"/>
              </w:rPr>
              <w:t>每域×模型为 12×3 种子＝</w:t>
            </w:r>
            <w:r>
              <w:rPr>
                <w:rFonts w:ascii="Times New Roman" w:hAnsi="Times New Roman" w:eastAsia="PingFang SC"/>
                <w:b/>
                <w:i w:val="0"/>
                <w:sz w:val="19"/>
              </w:rPr>
              <w:t>36 次训练</w:t>
            </w:r>
            <w:r>
              <w:rPr>
                <w:rFonts w:ascii="Times New Roman" w:hAnsi="Times New Roman" w:eastAsia="PingFang SC"/>
                <w:b w:val="0"/>
                <w:i w:val="0"/>
                <w:sz w:val="19"/>
              </w:rPr>
              <w:t xml:space="preserve">；3 域×3 掌纹模型为 </w:t>
            </w:r>
            <w:r>
              <w:rPr>
                <w:rFonts w:ascii="Times New Roman" w:hAnsi="Times New Roman" w:eastAsia="PingFang SC"/>
                <w:b/>
                <w:i w:val="0"/>
                <w:sz w:val="19"/>
              </w:rPr>
              <w:t>324 次</w:t>
            </w:r>
            <w:r>
              <w:rPr>
                <w:rFonts w:ascii="Times New Roman" w:hAnsi="Times New Roman" w:eastAsia="PingFang SC"/>
                <w:b w:val="0"/>
                <w:i w:val="0"/>
                <w:sz w:val="19"/>
              </w:rPr>
              <w:t xml:space="preserve">，扩到七模型为 </w:t>
            </w:r>
            <w:r>
              <w:rPr>
                <w:rFonts w:ascii="Times New Roman" w:hAnsi="Times New Roman" w:eastAsia="PingFang SC"/>
                <w:b/>
                <w:i w:val="0"/>
                <w:sz w:val="19"/>
              </w:rPr>
              <w:t>756 次</w:t>
            </w:r>
            <w:r>
              <w:rPr>
                <w:rFonts w:ascii="Times New Roman" w:hAnsi="Times New Roman" w:eastAsia="PingFang SC"/>
                <w:b w:val="0"/>
                <w:i w:val="0"/>
                <w:sz w:val="19"/>
              </w:rPr>
              <w:t>。主表重复格可复用</w:t>
            </w:r>
          </w:p>
        </w:tc>
        <w:tc>
          <w:tcPr>
            <w:tcW w:type="dxa" w:w="2353"/>
          </w:tcPr>
          <w:p>
            <w:pPr>
              <w:spacing w:after="40"/>
            </w:pPr>
            <w:r/>
            <w:r>
              <w:rPr>
                <w:rFonts w:ascii="Times New Roman" w:hAnsi="Times New Roman" w:eastAsia="PingFang SC"/>
                <w:b w:val="0"/>
                <w:i w:val="0"/>
                <w:sz w:val="19"/>
              </w:rPr>
              <w:t>是否主要靠 ASIT？MS-DIFE 的作用来自学习语义还是随机正则？R1-2、R2-5</w:t>
            </w:r>
          </w:p>
        </w:tc>
      </w:tr>
      <w:tr>
        <w:tc>
          <w:tcPr>
            <w:tcW w:type="dxa" w:w="2353"/>
            <w:shd w:val="clear" w:fill="EEF3FA"/>
          </w:tcPr>
          <w:p>
            <w:pPr>
              <w:spacing w:after="40"/>
            </w:pPr>
            <w:r/>
            <w:r>
              <w:rPr>
                <w:rFonts w:ascii="Times New Roman" w:hAnsi="Times New Roman" w:eastAsia="PingFang SC"/>
                <w:b/>
                <w:i w:val="0"/>
                <w:sz w:val="19"/>
              </w:rPr>
              <w:t>E06 面积—跨度—线结构机制</w:t>
            </w:r>
          </w:p>
        </w:tc>
        <w:tc>
          <w:tcPr>
            <w:tcW w:type="dxa" w:w="2353"/>
            <w:shd w:val="clear" w:fill="EEF3FA"/>
          </w:tcPr>
          <w:p>
            <w:pPr>
              <w:spacing w:after="40"/>
            </w:pPr>
            <w:r/>
            <w:r>
              <w:rPr>
                <w:rFonts w:ascii="Times New Roman" w:hAnsi="Times New Roman" w:eastAsia="PingFang SC"/>
                <w:b w:val="0"/>
                <w:i w:val="0"/>
                <w:sz w:val="19"/>
              </w:rPr>
              <w:t>4 个完整形状＋2 个预设同跨度控制；测独立线能量覆盖；配常数、白纸样、随机纹理。另做大小、位置、方向、软边的单因素扫描</w:t>
            </w:r>
          </w:p>
        </w:tc>
        <w:tc>
          <w:tcPr>
            <w:tcW w:type="dxa" w:w="2353"/>
            <w:shd w:val="clear" w:fill="EEF3FA"/>
          </w:tcPr>
          <w:p>
            <w:pPr>
              <w:spacing w:after="40"/>
            </w:pPr>
            <w:r/>
            <w:r>
              <w:rPr>
                <w:rFonts w:ascii="Times New Roman" w:hAnsi="Times New Roman" w:eastAsia="PingFang SC"/>
                <w:b w:val="0"/>
                <w:i w:val="0"/>
                <w:sz w:val="19"/>
              </w:rPr>
              <w:t>6 掩码×3 域×3 掌纹模型×3 种子＝</w:t>
            </w:r>
            <w:r>
              <w:rPr>
                <w:rFonts w:ascii="Times New Roman" w:hAnsi="Times New Roman" w:eastAsia="PingFang SC"/>
                <w:b/>
                <w:i w:val="0"/>
                <w:sz w:val="19"/>
              </w:rPr>
              <w:t>162 次训练</w:t>
            </w:r>
            <w:r>
              <w:rPr>
                <w:rFonts w:ascii="Times New Roman" w:hAnsi="Times New Roman" w:eastAsia="PingFang SC"/>
                <w:b w:val="0"/>
                <w:i w:val="0"/>
                <w:sz w:val="19"/>
              </w:rPr>
              <w:t xml:space="preserve">，七模型为 </w:t>
            </w:r>
            <w:r>
              <w:rPr>
                <w:rFonts w:ascii="Times New Roman" w:hAnsi="Times New Roman" w:eastAsia="PingFang SC"/>
                <w:b/>
                <w:i w:val="0"/>
                <w:sz w:val="19"/>
              </w:rPr>
              <w:t>378 次</w:t>
            </w:r>
            <w:r>
              <w:rPr>
                <w:rFonts w:ascii="Times New Roman" w:hAnsi="Times New Roman" w:eastAsia="PingFang SC"/>
                <w:b w:val="0"/>
                <w:i w:val="0"/>
                <w:sz w:val="19"/>
              </w:rPr>
              <w:t xml:space="preserve">。敏感性候选 4 面积/4 位置/4 方向/2 边缘设置共享基准，合计 </w:t>
            </w:r>
            <w:r>
              <w:rPr>
                <w:rFonts w:ascii="Times New Roman" w:hAnsi="Times New Roman" w:eastAsia="PingFang SC"/>
                <w:b/>
                <w:i w:val="0"/>
                <w:sz w:val="19"/>
              </w:rPr>
              <w:t>11 个设置</w:t>
            </w:r>
            <w:r>
              <w:rPr>
                <w:rFonts w:ascii="Times New Roman" w:hAnsi="Times New Roman" w:eastAsia="PingFang SC"/>
                <w:b w:val="0"/>
                <w:i w:val="0"/>
                <w:sz w:val="19"/>
              </w:rPr>
              <w:t xml:space="preserve">，每域×模型 </w:t>
            </w:r>
            <w:r>
              <w:rPr>
                <w:rFonts w:ascii="Times New Roman" w:hAnsi="Times New Roman" w:eastAsia="PingFang SC"/>
                <w:b/>
                <w:i w:val="0"/>
                <w:sz w:val="19"/>
              </w:rPr>
              <w:t>33 次</w:t>
            </w:r>
            <w:r>
              <w:rPr>
                <w:rFonts w:ascii="Times New Roman" w:hAnsi="Times New Roman" w:eastAsia="PingFang SC"/>
                <w:b w:val="0"/>
                <w:i w:val="0"/>
                <w:sz w:val="19"/>
              </w:rPr>
              <w:t>；与已有格去重</w:t>
            </w:r>
          </w:p>
        </w:tc>
        <w:tc>
          <w:tcPr>
            <w:tcW w:type="dxa" w:w="2353"/>
            <w:shd w:val="clear" w:fill="EEF3FA"/>
          </w:tcPr>
          <w:p>
            <w:pPr>
              <w:spacing w:after="40"/>
            </w:pPr>
            <w:r/>
            <w:r>
              <w:rPr>
                <w:rFonts w:ascii="Times New Roman" w:hAnsi="Times New Roman" w:eastAsia="PingFang SC"/>
                <w:b w:val="0"/>
                <w:i w:val="0"/>
                <w:sz w:val="19"/>
              </w:rPr>
              <w:t>等面积后十字还更优吗？真正因素是跨度、线覆盖还是普通遮挡？R1-1、R1-7 / H2</w:t>
            </w:r>
          </w:p>
        </w:tc>
      </w:tr>
      <w:tr>
        <w:tc>
          <w:tcPr>
            <w:tcW w:type="dxa" w:w="2353"/>
          </w:tcPr>
          <w:p>
            <w:pPr>
              <w:spacing w:after="40"/>
            </w:pPr>
            <w:r/>
            <w:r>
              <w:rPr>
                <w:rFonts w:ascii="Times New Roman" w:hAnsi="Times New Roman" w:eastAsia="PingFang SC"/>
                <w:b/>
                <w:i w:val="0"/>
                <w:sz w:val="19"/>
              </w:rPr>
              <w:t>E07 RaS、EOT 次数与未知退化</w:t>
            </w:r>
          </w:p>
        </w:tc>
        <w:tc>
          <w:tcPr>
            <w:tcW w:type="dxa" w:w="2353"/>
          </w:tcPr>
          <w:p>
            <w:pPr>
              <w:spacing w:after="40"/>
            </w:pPr>
            <w:r/>
            <w:r>
              <w:rPr>
                <w:rFonts w:ascii="Times New Roman" w:hAnsi="Times New Roman" w:eastAsia="PingFang SC"/>
                <w:b w:val="0"/>
                <w:i w:val="0"/>
                <w:sz w:val="19"/>
              </w:rPr>
              <w:t>比较无 RaS、RaS＋K1、RaS＋K4；固定更新与等计算两种视角分开；clean/adv 共用退化实现</w:t>
            </w:r>
          </w:p>
        </w:tc>
        <w:tc>
          <w:tcPr>
            <w:tcW w:type="dxa" w:w="2353"/>
          </w:tcPr>
          <w:p>
            <w:pPr>
              <w:spacing w:after="40"/>
            </w:pPr>
            <w:r/>
            <w:r>
              <w:rPr>
                <w:rFonts w:ascii="Times New Roman" w:hAnsi="Times New Roman" w:eastAsia="PingFang SC"/>
                <w:b w:val="0"/>
                <w:i w:val="0"/>
                <w:sz w:val="19"/>
              </w:rPr>
              <w:t>固定更新面板：3 配置×3 域×3 掌纹模型×3 种子＝</w:t>
            </w:r>
            <w:r>
              <w:rPr>
                <w:rFonts w:ascii="Times New Roman" w:hAnsi="Times New Roman" w:eastAsia="PingFang SC"/>
                <w:b/>
                <w:i w:val="0"/>
                <w:sz w:val="19"/>
              </w:rPr>
              <w:t>81 次训练</w:t>
            </w:r>
            <w:r>
              <w:rPr>
                <w:rFonts w:ascii="Times New Roman" w:hAnsi="Times New Roman" w:eastAsia="PingFang SC"/>
                <w:b w:val="0"/>
                <w:i w:val="0"/>
                <w:sz w:val="19"/>
              </w:rPr>
              <w:t xml:space="preserve">，七模型为 </w:t>
            </w:r>
            <w:r>
              <w:rPr>
                <w:rFonts w:ascii="Times New Roman" w:hAnsi="Times New Roman" w:eastAsia="PingFang SC"/>
                <w:b/>
                <w:i w:val="0"/>
                <w:sz w:val="19"/>
              </w:rPr>
              <w:t>189 次</w:t>
            </w:r>
            <w:r>
              <w:rPr>
                <w:rFonts w:ascii="Times New Roman" w:hAnsi="Times New Roman" w:eastAsia="PingFang SC"/>
                <w:b w:val="0"/>
                <w:i w:val="0"/>
                <w:sz w:val="19"/>
              </w:rPr>
              <w:t xml:space="preserve">；每 artifact 评标称、分布内及模糊/gamma/JPEG 各 3 档，共 </w:t>
            </w:r>
            <w:r>
              <w:rPr>
                <w:rFonts w:ascii="Times New Roman" w:hAnsi="Times New Roman" w:eastAsia="PingFang SC"/>
                <w:b/>
                <w:i w:val="0"/>
                <w:sz w:val="19"/>
              </w:rPr>
              <w:t>11 条件</w:t>
            </w:r>
            <w:r>
              <w:rPr>
                <w:rFonts w:ascii="Times New Roman" w:hAnsi="Times New Roman" w:eastAsia="PingFang SC"/>
                <w:b w:val="0"/>
                <w:i w:val="0"/>
                <w:sz w:val="19"/>
              </w:rPr>
              <w:t>。等计算新配置另计</w:t>
            </w:r>
          </w:p>
        </w:tc>
        <w:tc>
          <w:tcPr>
            <w:tcW w:type="dxa" w:w="2353"/>
          </w:tcPr>
          <w:p>
            <w:pPr>
              <w:spacing w:after="40"/>
            </w:pPr>
            <w:r/>
            <w:r>
              <w:rPr>
                <w:rFonts w:ascii="Times New Roman" w:hAnsi="Times New Roman" w:eastAsia="PingFang SC"/>
                <w:b w:val="0"/>
                <w:i w:val="0"/>
                <w:sz w:val="19"/>
              </w:rPr>
              <w:t>随机增强是否真的改善未见采集？收益是否只来自更多计算？R2-5、R3-1 / H4</w:t>
            </w:r>
          </w:p>
        </w:tc>
      </w:tr>
      <w:tr>
        <w:tc>
          <w:tcPr>
            <w:tcW w:type="dxa" w:w="2353"/>
            <w:shd w:val="clear" w:fill="EEF3FA"/>
          </w:tcPr>
          <w:p>
            <w:pPr>
              <w:spacing w:after="40"/>
            </w:pPr>
            <w:r/>
            <w:r>
              <w:rPr>
                <w:rFonts w:ascii="Times New Roman" w:hAnsi="Times New Roman" w:eastAsia="PingFang SC"/>
                <w:b/>
                <w:i w:val="0"/>
                <w:sz w:val="19"/>
              </w:rPr>
              <w:t>E08 迁移与架构外推</w:t>
            </w:r>
          </w:p>
        </w:tc>
        <w:tc>
          <w:tcPr>
            <w:tcW w:type="dxa" w:w="2353"/>
            <w:shd w:val="clear" w:fill="EEF3FA"/>
          </w:tcPr>
          <w:p>
            <w:pPr>
              <w:spacing w:after="40"/>
            </w:pPr>
            <w:r/>
            <w:r>
              <w:rPr>
                <w:rFonts w:ascii="Times New Roman" w:hAnsi="Times New Roman" w:eastAsia="PingFang SC"/>
                <w:b w:val="0"/>
                <w:i w:val="0"/>
                <w:sz w:val="19"/>
              </w:rPr>
              <w:t>源专属配方冻结后迁移；不使用目标反馈选方法。补七模型留一集成和至少一种异构新骨干</w:t>
            </w:r>
          </w:p>
        </w:tc>
        <w:tc>
          <w:tcPr>
            <w:tcW w:type="dxa" w:w="2353"/>
            <w:shd w:val="clear" w:fill="EEF3FA"/>
          </w:tcPr>
          <w:p>
            <w:pPr>
              <w:spacing w:after="40"/>
            </w:pPr>
            <w:r/>
            <w:r>
              <w:rPr>
                <w:rFonts w:ascii="Times New Roman" w:hAnsi="Times New Roman" w:eastAsia="PingFang SC"/>
                <w:b w:val="0"/>
                <w:i w:val="0"/>
                <w:sz w:val="19"/>
              </w:rPr>
              <w:t>未定向同域：3 域×7×6 模型对×3 方法×3 种子＝</w:t>
            </w:r>
            <w:r>
              <w:rPr>
                <w:rFonts w:ascii="Times New Roman" w:hAnsi="Times New Roman" w:eastAsia="PingFang SC"/>
                <w:b/>
                <w:i w:val="0"/>
                <w:sz w:val="19"/>
              </w:rPr>
              <w:t>1,134 次评估</w:t>
            </w:r>
            <w:r>
              <w:rPr>
                <w:rFonts w:ascii="Times New Roman" w:hAnsi="Times New Roman" w:eastAsia="PingFang SC"/>
                <w:b w:val="0"/>
                <w:i w:val="0"/>
                <w:sz w:val="19"/>
              </w:rPr>
              <w:t>；同家族跨域：6 域对×7 模型×3 方法×3 种子＝</w:t>
            </w:r>
            <w:r>
              <w:rPr>
                <w:rFonts w:ascii="Times New Roman" w:hAnsi="Times New Roman" w:eastAsia="PingFang SC"/>
                <w:b/>
                <w:i w:val="0"/>
                <w:sz w:val="19"/>
              </w:rPr>
              <w:t>378 次评估</w:t>
            </w:r>
            <w:r>
              <w:rPr>
                <w:rFonts w:ascii="Times New Roman" w:hAnsi="Times New Roman" w:eastAsia="PingFang SC"/>
                <w:b w:val="0"/>
                <w:i w:val="0"/>
                <w:sz w:val="19"/>
              </w:rPr>
              <w:t xml:space="preserve">；七模型留一集成 </w:t>
            </w:r>
            <w:r>
              <w:rPr>
                <w:rFonts w:ascii="Times New Roman" w:hAnsi="Times New Roman" w:eastAsia="PingFang SC"/>
                <w:b/>
                <w:i w:val="0"/>
                <w:sz w:val="19"/>
              </w:rPr>
              <w:t>189 次训练</w:t>
            </w:r>
            <w:r>
              <w:rPr>
                <w:rFonts w:ascii="Times New Roman" w:hAnsi="Times New Roman" w:eastAsia="PingFang SC"/>
                <w:b w:val="0"/>
                <w:i w:val="0"/>
                <w:sz w:val="19"/>
              </w:rPr>
              <w:t>。新骨干及定向扩展另计</w:t>
            </w:r>
          </w:p>
        </w:tc>
        <w:tc>
          <w:tcPr>
            <w:tcW w:type="dxa" w:w="2353"/>
            <w:shd w:val="clear" w:fill="EEF3FA"/>
          </w:tcPr>
          <w:p>
            <w:pPr>
              <w:spacing w:after="40"/>
            </w:pPr>
            <w:r/>
            <w:r>
              <w:rPr>
                <w:rFonts w:ascii="Times New Roman" w:hAnsi="Times New Roman" w:eastAsia="PingFang SC"/>
                <w:b w:val="0"/>
                <w:i w:val="0"/>
                <w:sz w:val="19"/>
              </w:rPr>
              <w:t>是否过拟合源模型/域？主线解释能否跨架构成立？支撑泛化结论</w:t>
            </w:r>
          </w:p>
        </w:tc>
      </w:tr>
    </w:tbl>
    <w:p>
      <w:pPr>
        <w:spacing w:after="80"/>
      </w:pPr>
    </w:p>
    <w:p>
      <w:r>
        <w:rPr>
          <w:rFonts w:ascii="Times New Roman" w:hAnsi="Times New Roman" w:eastAsia="PingFang SC"/>
          <w:b/>
          <w:i w:val="0"/>
          <w:sz w:val="21"/>
        </w:rPr>
        <w:t>视觉指标随 E02/E06/E07 一起计算，不新增训练：</w:t>
      </w:r>
      <w:r>
        <w:rPr>
          <w:rFonts w:ascii="Times New Roman" w:hAnsi="Times New Roman" w:eastAsia="PingFang SC"/>
          <w:b w:val="0"/>
          <w:i w:val="0"/>
          <w:sz w:val="21"/>
        </w:rPr>
        <w:t xml:space="preserve"> 全图与局部的峰值信噪比（PSNR）、结构相似性（SSIM）、像素误差与总变分（TV）。局部指标防止小面积把全图分数“稀释得很好看”；这些指标不等于人眼不可察觉。</w:t>
      </w:r>
    </w:p>
    <w:p>
      <w:r>
        <w:rPr>
          <w:rFonts w:ascii="Times New Roman" w:hAnsi="Times New Roman" w:eastAsia="PingFang SC"/>
          <w:b w:val="0"/>
          <w:i w:val="0"/>
          <w:sz w:val="21"/>
        </w:rPr>
        <w:t>E06 的 11 个设置按单因素比较计算：1 个共同基准＋3 个面积变化＋3 个位置变化＋3 个方向变化＋1 个边缘变化。它</w:t>
      </w:r>
      <w:r>
        <w:rPr>
          <w:rFonts w:ascii="Times New Roman" w:hAnsi="Times New Roman" w:eastAsia="PingFang SC"/>
          <w:b/>
          <w:i w:val="0"/>
          <w:sz w:val="21"/>
        </w:rPr>
        <w:t>不是 4×4×4×2 全组合，也不证明所有交互作用</w:t>
      </w:r>
      <w:r>
        <w:rPr>
          <w:rFonts w:ascii="Times New Roman" w:hAnsi="Times New Roman" w:eastAsia="PingFang SC"/>
          <w:b w:val="0"/>
          <w:i w:val="0"/>
          <w:sz w:val="21"/>
        </w:rPr>
        <w:t>。</w:t>
      </w:r>
    </w:p>
    <w:p>
      <w:pPr>
        <w:pStyle w:val="Heading2"/>
      </w:pPr>
      <w:r>
        <w:t>2.4 C 组｜防御、实拍与最新直接相关工作</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2353"/>
            <w:shd w:val="clear" w:fill="1F3B73"/>
          </w:tcPr>
          <w:p>
            <w:pPr>
              <w:spacing w:after="40"/>
            </w:pPr>
            <w:r>
              <w:rPr>
                <w:b/>
                <w:color w:val="FFFFFF"/>
              </w:rPr>
            </w:r>
            <w:r>
              <w:rPr>
                <w:rFonts w:ascii="Times New Roman" w:hAnsi="Times New Roman" w:eastAsia="PingFang SC"/>
                <w:b/>
                <w:i w:val="0"/>
                <w:color w:val="FFFFFF"/>
                <w:sz w:val="19"/>
              </w:rPr>
              <w:t>实验</w:t>
            </w:r>
          </w:p>
        </w:tc>
        <w:tc>
          <w:tcPr>
            <w:tcW w:type="dxa" w:w="2353"/>
            <w:shd w:val="clear" w:fill="1F3B73"/>
          </w:tcPr>
          <w:p>
            <w:pPr>
              <w:spacing w:after="40"/>
            </w:pPr>
            <w:r>
              <w:rPr>
                <w:b/>
                <w:color w:val="FFFFFF"/>
              </w:rPr>
            </w:r>
            <w:r>
              <w:rPr>
                <w:rFonts w:ascii="Times New Roman" w:hAnsi="Times New Roman" w:eastAsia="PingFang SC"/>
                <w:b/>
                <w:i w:val="0"/>
                <w:color w:val="FFFFFF"/>
                <w:sz w:val="19"/>
              </w:rPr>
              <w:t>怎么做</w:t>
            </w:r>
          </w:p>
        </w:tc>
        <w:tc>
          <w:tcPr>
            <w:tcW w:type="dxa" w:w="2353"/>
            <w:shd w:val="clear" w:fill="1F3B73"/>
          </w:tcPr>
          <w:p>
            <w:pPr>
              <w:spacing w:after="40"/>
            </w:pPr>
            <w:r>
              <w:rPr>
                <w:b/>
                <w:color w:val="FFFFFF"/>
              </w:rPr>
            </w:r>
            <w:r>
              <w:rPr>
                <w:rFonts w:ascii="Times New Roman" w:hAnsi="Times New Roman" w:eastAsia="PingFang SC"/>
                <w:b/>
                <w:i w:val="0"/>
                <w:color w:val="FFFFFF"/>
                <w:sz w:val="19"/>
              </w:rPr>
              <w:t>预计规模</w:t>
            </w:r>
          </w:p>
        </w:tc>
        <w:tc>
          <w:tcPr>
            <w:tcW w:type="dxa" w:w="2353"/>
            <w:shd w:val="clear" w:fill="1F3B73"/>
          </w:tcPr>
          <w:p>
            <w:pPr>
              <w:spacing w:after="40"/>
            </w:pPr>
            <w:r>
              <w:rPr>
                <w:b/>
                <w:color w:val="FFFFFF"/>
              </w:rPr>
            </w:r>
            <w:r>
              <w:rPr>
                <w:rFonts w:ascii="Times New Roman" w:hAnsi="Times New Roman" w:eastAsia="PingFang SC"/>
                <w:b/>
                <w:i w:val="0"/>
                <w:color w:val="FFFFFF"/>
                <w:sz w:val="19"/>
              </w:rPr>
              <w:t>回答的问题</w:t>
            </w:r>
          </w:p>
        </w:tc>
      </w:tr>
      <w:tr>
        <w:tc>
          <w:tcPr>
            <w:tcW w:type="dxa" w:w="2353"/>
          </w:tcPr>
          <w:p>
            <w:pPr>
              <w:spacing w:after="40"/>
            </w:pPr>
            <w:r/>
            <w:r>
              <w:rPr>
                <w:rFonts w:ascii="Times New Roman" w:hAnsi="Times New Roman" w:eastAsia="PingFang SC"/>
                <w:b/>
                <w:i w:val="0"/>
                <w:sz w:val="19"/>
              </w:rPr>
              <w:t>E09 对抗训练后的残余风险</w:t>
            </w:r>
          </w:p>
        </w:tc>
        <w:tc>
          <w:tcPr>
            <w:tcW w:type="dxa" w:w="2353"/>
          </w:tcPr>
          <w:p>
            <w:pPr>
              <w:spacing w:after="40"/>
            </w:pPr>
            <w:r/>
            <w:r>
              <w:rPr>
                <w:rFonts w:ascii="Times New Roman" w:hAnsi="Times New Roman" w:eastAsia="PingFang SC"/>
                <w:b w:val="0"/>
                <w:i w:val="0"/>
                <w:sz w:val="19"/>
              </w:rPr>
              <w:t>同时测洁净代价、旧补丁迁移、针对防御重新优化；重新校准防御模型的验证阈值</w:t>
            </w:r>
          </w:p>
        </w:tc>
        <w:tc>
          <w:tcPr>
            <w:tcW w:type="dxa" w:w="2353"/>
          </w:tcPr>
          <w:p>
            <w:pPr>
              <w:spacing w:after="40"/>
            </w:pPr>
            <w:r/>
            <w:r>
              <w:rPr>
                <w:rFonts w:ascii="Times New Roman" w:hAnsi="Times New Roman" w:eastAsia="PingFang SC"/>
                <w:b w:val="0"/>
                <w:i w:val="0"/>
                <w:sz w:val="19"/>
              </w:rPr>
              <w:t>首个完整掌纹面板：3 域×3 掌纹模型×3 防御种子＝</w:t>
            </w:r>
            <w:r>
              <w:rPr>
                <w:rFonts w:ascii="Times New Roman" w:hAnsi="Times New Roman" w:eastAsia="PingFang SC"/>
                <w:b/>
                <w:i w:val="0"/>
                <w:sz w:val="19"/>
              </w:rPr>
              <w:t>27 份防御权重</w:t>
            </w:r>
            <w:r>
              <w:rPr>
                <w:rFonts w:ascii="Times New Roman" w:hAnsi="Times New Roman" w:eastAsia="PingFang SC"/>
                <w:b w:val="0"/>
                <w:i w:val="0"/>
                <w:sz w:val="19"/>
              </w:rPr>
              <w:t>；再×3 攻击方法×3 补丁种子＝</w:t>
            </w:r>
            <w:r>
              <w:rPr>
                <w:rFonts w:ascii="Times New Roman" w:hAnsi="Times New Roman" w:eastAsia="PingFang SC"/>
                <w:b/>
                <w:i w:val="0"/>
                <w:sz w:val="19"/>
              </w:rPr>
              <w:t>243 次未定向自适应补丁训练</w:t>
            </w:r>
            <w:r>
              <w:rPr>
                <w:rFonts w:ascii="Times New Roman" w:hAnsi="Times New Roman" w:eastAsia="PingFang SC"/>
                <w:b w:val="0"/>
                <w:i w:val="0"/>
                <w:sz w:val="19"/>
              </w:rPr>
              <w:t>。匹配洁净训练对照可再需 27 份权重</w:t>
            </w:r>
          </w:p>
        </w:tc>
        <w:tc>
          <w:tcPr>
            <w:tcW w:type="dxa" w:w="2353"/>
          </w:tcPr>
          <w:p>
            <w:pPr>
              <w:spacing w:after="40"/>
            </w:pPr>
            <w:r/>
            <w:r>
              <w:rPr>
                <w:rFonts w:ascii="Times New Roman" w:hAnsi="Times New Roman" w:eastAsia="PingFang SC"/>
                <w:b w:val="0"/>
                <w:i w:val="0"/>
                <w:sz w:val="19"/>
              </w:rPr>
              <w:t>旧补丁失效是否只是未适应防御？真正自适应攻击还剩多少？支撑原稿防御主张</w:t>
            </w:r>
          </w:p>
        </w:tc>
      </w:tr>
      <w:tr>
        <w:tc>
          <w:tcPr>
            <w:tcW w:type="dxa" w:w="2353"/>
            <w:shd w:val="clear" w:fill="EEF3FA"/>
          </w:tcPr>
          <w:p>
            <w:pPr>
              <w:spacing w:after="40"/>
            </w:pPr>
            <w:r/>
            <w:r>
              <w:rPr>
                <w:rFonts w:ascii="Times New Roman" w:hAnsi="Times New Roman" w:eastAsia="PingFang SC"/>
                <w:b/>
                <w:i w:val="0"/>
                <w:sz w:val="19"/>
              </w:rPr>
              <w:t>E10 认证防御的支撑范围</w:t>
            </w:r>
          </w:p>
        </w:tc>
        <w:tc>
          <w:tcPr>
            <w:tcW w:type="dxa" w:w="2353"/>
            <w:shd w:val="clear" w:fill="EEF3FA"/>
          </w:tcPr>
          <w:p>
            <w:pPr>
              <w:spacing w:after="40"/>
            </w:pPr>
            <w:r/>
            <w:r>
              <w:rPr>
                <w:rFonts w:ascii="Times New Roman" w:hAnsi="Times New Roman" w:eastAsia="PingFang SC"/>
                <w:b w:val="0"/>
                <w:i w:val="0"/>
                <w:sz w:val="19"/>
              </w:rPr>
              <w:t>先核 PatchCleanser/CertMask 原实现及前提；比较不同外接范围，区分范围内/外、已认证/未认证样本，补自适应经验评估</w:t>
            </w:r>
          </w:p>
        </w:tc>
        <w:tc>
          <w:tcPr>
            <w:tcW w:type="dxa" w:w="2353"/>
            <w:shd w:val="clear" w:fill="EEF3FA"/>
          </w:tcPr>
          <w:p>
            <w:pPr>
              <w:spacing w:after="40"/>
            </w:pPr>
            <w:r/>
            <w:r>
              <w:rPr>
                <w:rFonts w:ascii="Times New Roman" w:hAnsi="Times New Roman" w:eastAsia="PingFang SC"/>
                <w:b w:val="0"/>
                <w:i w:val="0"/>
                <w:sz w:val="19"/>
              </w:rPr>
              <w:t>2 防御×3 域×3 掌纹模型×2 覆盖范围＝</w:t>
            </w:r>
            <w:r>
              <w:rPr>
                <w:rFonts w:ascii="Times New Roman" w:hAnsi="Times New Roman" w:eastAsia="PingFang SC"/>
                <w:b/>
                <w:i w:val="0"/>
                <w:sz w:val="19"/>
              </w:rPr>
              <w:t>36 个防御配置</w:t>
            </w:r>
            <w:r>
              <w:rPr>
                <w:rFonts w:ascii="Times New Roman" w:hAnsi="Times New Roman" w:eastAsia="PingFang SC"/>
                <w:b w:val="0"/>
                <w:i w:val="0"/>
                <w:sz w:val="19"/>
              </w:rPr>
              <w:t xml:space="preserve">；扩到七模型为 </w:t>
            </w:r>
            <w:r>
              <w:rPr>
                <w:rFonts w:ascii="Times New Roman" w:hAnsi="Times New Roman" w:eastAsia="PingFang SC"/>
                <w:b/>
                <w:i w:val="0"/>
                <w:sz w:val="19"/>
              </w:rPr>
              <w:t>84 个</w:t>
            </w:r>
            <w:r>
              <w:rPr>
                <w:rFonts w:ascii="Times New Roman" w:hAnsi="Times New Roman" w:eastAsia="PingFang SC"/>
                <w:b w:val="0"/>
                <w:i w:val="0"/>
                <w:sz w:val="19"/>
              </w:rPr>
              <w:t>。每配置遍历合法 probe，攻击种子/方法和大量掩码推理调用另计</w:t>
            </w:r>
          </w:p>
        </w:tc>
        <w:tc>
          <w:tcPr>
            <w:tcW w:type="dxa" w:w="2353"/>
            <w:shd w:val="clear" w:fill="EEF3FA"/>
          </w:tcPr>
          <w:p>
            <w:pPr>
              <w:spacing w:after="40"/>
            </w:pPr>
            <w:r/>
            <w:r>
              <w:rPr>
                <w:rFonts w:ascii="Times New Roman" w:hAnsi="Times New Roman" w:eastAsia="PingFang SC"/>
                <w:b w:val="0"/>
                <w:i w:val="0"/>
                <w:sz w:val="19"/>
              </w:rPr>
              <w:t>同像素预算是否意味着同一保证集合？细长支撑带来什么覆盖代价？H5</w:t>
            </w:r>
          </w:p>
        </w:tc>
      </w:tr>
      <w:tr>
        <w:tc>
          <w:tcPr>
            <w:tcW w:type="dxa" w:w="2353"/>
          </w:tcPr>
          <w:p>
            <w:pPr>
              <w:spacing w:after="40"/>
            </w:pPr>
            <w:r/>
            <w:r>
              <w:rPr>
                <w:rFonts w:ascii="Times New Roman" w:hAnsi="Times New Roman" w:eastAsia="PingFang SC"/>
                <w:b/>
                <w:i w:val="0"/>
                <w:sz w:val="19"/>
              </w:rPr>
              <w:t>E11 真实打印–拍摄及模块对照</w:t>
            </w:r>
          </w:p>
        </w:tc>
        <w:tc>
          <w:tcPr>
            <w:tcW w:type="dxa" w:w="2353"/>
          </w:tcPr>
          <w:p>
            <w:pPr>
              <w:spacing w:after="40"/>
            </w:pPr>
            <w:r/>
            <w:r>
              <w:rPr>
                <w:rFonts w:ascii="Times New Roman" w:hAnsi="Times New Roman" w:eastAsia="PingFang SC"/>
                <w:b w:val="0"/>
                <w:i w:val="0"/>
                <w:sz w:val="19"/>
              </w:rPr>
              <w:t>恢复旧数据；新采集做固定物体、洁净与遮挡对照、纯 ASIT/RaS 消融；逐次/每人/重试分开报告</w:t>
            </w:r>
          </w:p>
        </w:tc>
        <w:tc>
          <w:tcPr>
            <w:tcW w:type="dxa" w:w="2353"/>
          </w:tcPr>
          <w:p>
            <w:pPr>
              <w:spacing w:after="40"/>
            </w:pPr>
            <w:r/>
            <w:r>
              <w:rPr>
                <w:rFonts w:ascii="Times New Roman" w:hAnsi="Times New Roman" w:eastAsia="PingFang SC"/>
                <w:b w:val="0"/>
                <w:i w:val="0"/>
                <w:sz w:val="19"/>
              </w:rPr>
              <w:t xml:space="preserve">旧数据最多 </w:t>
            </w:r>
            <w:r>
              <w:rPr>
                <w:rFonts w:ascii="Times New Roman" w:hAnsi="Times New Roman" w:eastAsia="PingFang SC"/>
                <w:b/>
                <w:i w:val="0"/>
                <w:sz w:val="19"/>
              </w:rPr>
              <w:t>400 张</w:t>
            </w:r>
            <w:r>
              <w:rPr>
                <w:rFonts w:ascii="Times New Roman" w:hAnsi="Times New Roman" w:eastAsia="PingFang SC"/>
                <w:b w:val="0"/>
                <w:i w:val="0"/>
                <w:sz w:val="19"/>
              </w:rPr>
              <w:t xml:space="preserve">，须实际找回；新增候选 </w:t>
            </w:r>
            <w:r>
              <w:rPr>
                <w:rFonts w:ascii="Times New Roman" w:hAnsi="Times New Roman" w:eastAsia="PingFang SC"/>
                <w:b/>
                <w:i w:val="0"/>
                <w:sz w:val="19"/>
              </w:rPr>
              <w:t>20 人、2 设备、6 组</w:t>
            </w:r>
            <w:r>
              <w:rPr>
                <w:rFonts w:ascii="Times New Roman" w:hAnsi="Times New Roman" w:eastAsia="PingFang SC"/>
                <w:b w:val="0"/>
                <w:i w:val="0"/>
                <w:sz w:val="19"/>
              </w:rPr>
              <w:t>。标称 10 次/人/设备/组＝</w:t>
            </w:r>
            <w:r>
              <w:rPr>
                <w:rFonts w:ascii="Times New Roman" w:hAnsi="Times New Roman" w:eastAsia="PingFang SC"/>
                <w:b/>
                <w:i w:val="0"/>
                <w:sz w:val="19"/>
              </w:rPr>
              <w:t>2,400 次采集</w:t>
            </w:r>
            <w:r>
              <w:rPr>
                <w:rFonts w:ascii="Times New Roman" w:hAnsi="Times New Roman" w:eastAsia="PingFang SC"/>
                <w:b w:val="0"/>
                <w:i w:val="0"/>
                <w:sz w:val="19"/>
              </w:rPr>
              <w:t>；8 个非标称条件各 5 次＝</w:t>
            </w:r>
            <w:r>
              <w:rPr>
                <w:rFonts w:ascii="Times New Roman" w:hAnsi="Times New Roman" w:eastAsia="PingFang SC"/>
                <w:b/>
                <w:i w:val="0"/>
                <w:sz w:val="19"/>
              </w:rPr>
              <w:t>9,600 次</w:t>
            </w:r>
            <w:r>
              <w:rPr>
                <w:rFonts w:ascii="Times New Roman" w:hAnsi="Times New Roman" w:eastAsia="PingFang SC"/>
                <w:b w:val="0"/>
                <w:i w:val="0"/>
                <w:sz w:val="19"/>
              </w:rPr>
              <w:t xml:space="preserve">；一攻击模式合计 </w:t>
            </w:r>
            <w:r>
              <w:rPr>
                <w:rFonts w:ascii="Times New Roman" w:hAnsi="Times New Roman" w:eastAsia="PingFang SC"/>
                <w:b/>
                <w:i w:val="0"/>
                <w:sz w:val="19"/>
              </w:rPr>
              <w:t>12,000 次</w:t>
            </w:r>
            <w:r>
              <w:rPr>
                <w:rFonts w:ascii="Times New Roman" w:hAnsi="Times New Roman" w:eastAsia="PingFang SC"/>
                <w:b w:val="0"/>
                <w:i w:val="0"/>
                <w:sz w:val="19"/>
              </w:rPr>
              <w:t>，详见下表</w:t>
            </w:r>
          </w:p>
        </w:tc>
        <w:tc>
          <w:tcPr>
            <w:tcW w:type="dxa" w:w="2353"/>
          </w:tcPr>
          <w:p>
            <w:pPr>
              <w:spacing w:after="40"/>
            </w:pPr>
            <w:r/>
            <w:r>
              <w:rPr>
                <w:rFonts w:ascii="Times New Roman" w:hAnsi="Times New Roman" w:eastAsia="PingFang SC"/>
                <w:b w:val="0"/>
                <w:i w:val="0"/>
                <w:sz w:val="19"/>
              </w:rPr>
              <w:t>物理收益是否超出遮挡和重拍误差？哪些条件会失效？R2-2、R2-5、R3-2 / H4</w:t>
            </w:r>
          </w:p>
        </w:tc>
      </w:tr>
      <w:tr>
        <w:tc>
          <w:tcPr>
            <w:tcW w:type="dxa" w:w="2353"/>
            <w:shd w:val="clear" w:fill="EEF3FA"/>
          </w:tcPr>
          <w:p>
            <w:pPr>
              <w:spacing w:after="40"/>
            </w:pPr>
            <w:r/>
            <w:r>
              <w:rPr>
                <w:rFonts w:ascii="Times New Roman" w:hAnsi="Times New Roman" w:eastAsia="PingFang SC"/>
                <w:b/>
                <w:i w:val="0"/>
                <w:sz w:val="19"/>
              </w:rPr>
              <w:t>E12 CAP 与原作能力核验</w:t>
            </w:r>
          </w:p>
        </w:tc>
        <w:tc>
          <w:tcPr>
            <w:tcW w:type="dxa" w:w="2353"/>
            <w:shd w:val="clear" w:fill="EEF3FA"/>
          </w:tcPr>
          <w:p>
            <w:pPr>
              <w:spacing w:after="40"/>
            </w:pPr>
            <w:r/>
            <w:r>
              <w:rPr>
                <w:rFonts w:ascii="Times New Roman" w:hAnsi="Times New Roman" w:eastAsia="PingFang SC"/>
                <w:b w:val="0"/>
                <w:i w:val="0"/>
                <w:sz w:val="19"/>
              </w:rPr>
              <w:t>先读全文/原实现，核通用性、目标、打印与阈值规则；原能力复现和匹配适配分表，不能改算法后仍称原作</w:t>
            </w:r>
          </w:p>
        </w:tc>
        <w:tc>
          <w:tcPr>
            <w:tcW w:type="dxa" w:w="2353"/>
            <w:shd w:val="clear" w:fill="EEF3FA"/>
          </w:tcPr>
          <w:p>
            <w:pPr>
              <w:spacing w:after="40"/>
            </w:pPr>
            <w:r/>
            <w:r>
              <w:rPr>
                <w:rFonts w:ascii="Times New Roman" w:hAnsi="Times New Roman" w:eastAsia="PingFang SC"/>
                <w:b w:val="0"/>
                <w:i w:val="0"/>
                <w:sz w:val="19"/>
              </w:rPr>
              <w:t xml:space="preserve">先 </w:t>
            </w:r>
            <w:r>
              <w:rPr>
                <w:rFonts w:ascii="Times New Roman" w:hAnsi="Times New Roman" w:eastAsia="PingFang SC"/>
                <w:b/>
                <w:i w:val="0"/>
                <w:sz w:val="19"/>
              </w:rPr>
              <w:t>1 数据集×3 掌纹模型×3 优化种子＝9 个方法单元</w:t>
            </w:r>
            <w:r>
              <w:rPr>
                <w:rFonts w:ascii="Times New Roman" w:hAnsi="Times New Roman" w:eastAsia="PingFang SC"/>
                <w:b w:val="0"/>
                <w:i w:val="0"/>
                <w:sz w:val="19"/>
              </w:rPr>
              <w:t xml:space="preserve">做可行性；每单元可能包含多个样本/目标优化，不预称 9 张通用补丁。若能合法适配到 E02 的 </w:t>
            </w:r>
            <w:r>
              <w:rPr>
                <w:rFonts w:ascii="Times New Roman" w:hAnsi="Times New Roman" w:eastAsia="PingFang SC"/>
                <w:b/>
                <w:i w:val="0"/>
                <w:sz w:val="19"/>
              </w:rPr>
              <w:t>1 个未定向配置＋3 个定向目标配置</w:t>
            </w:r>
            <w:r>
              <w:rPr>
                <w:rFonts w:ascii="Times New Roman" w:hAnsi="Times New Roman" w:eastAsia="PingFang SC"/>
                <w:b w:val="0"/>
                <w:i w:val="0"/>
                <w:sz w:val="19"/>
              </w:rPr>
              <w:t xml:space="preserve">，新增完整方法成本按 </w:t>
            </w:r>
            <w:r>
              <w:rPr>
                <w:rFonts w:ascii="Times New Roman" w:hAnsi="Times New Roman" w:eastAsia="PingFang SC"/>
                <w:b/>
                <w:i w:val="0"/>
                <w:sz w:val="19"/>
              </w:rPr>
              <w:t>252 次训练</w:t>
            </w:r>
            <w:r>
              <w:rPr>
                <w:rFonts w:ascii="Times New Roman" w:hAnsi="Times New Roman" w:eastAsia="PingFang SC"/>
                <w:b w:val="0"/>
                <w:i w:val="0"/>
                <w:sz w:val="19"/>
              </w:rPr>
              <w:t>估算</w:t>
            </w:r>
          </w:p>
        </w:tc>
        <w:tc>
          <w:tcPr>
            <w:tcW w:type="dxa" w:w="2353"/>
            <w:shd w:val="clear" w:fill="EEF3FA"/>
          </w:tcPr>
          <w:p>
            <w:pPr>
              <w:spacing w:after="40"/>
            </w:pPr>
            <w:r/>
            <w:r>
              <w:rPr>
                <w:rFonts w:ascii="Times New Roman" w:hAnsi="Times New Roman" w:eastAsia="PingFang SC"/>
                <w:b w:val="0"/>
                <w:i w:val="0"/>
                <w:sz w:val="19"/>
              </w:rPr>
              <w:t>CAP 与我们到底差在哪？“物理、彩色、验证阈值”还能否算独特贡献？R1-1、R1-2、R2-4、R3-4</w:t>
            </w:r>
          </w:p>
        </w:tc>
      </w:tr>
    </w:tbl>
    <w:p>
      <w:pPr>
        <w:spacing w:after="80"/>
      </w:pPr>
    </w:p>
    <w:p>
      <w:r>
        <w:rPr>
          <w:rFonts w:ascii="Times New Roman" w:hAnsi="Times New Roman" w:eastAsia="PingFang SC"/>
          <w:b/>
          <w:i w:val="0"/>
          <w:sz w:val="21"/>
        </w:rPr>
        <w:t>E12 是本次文献核验带来的新增候选讨论项</w:t>
      </w:r>
      <w:r>
        <w:rPr>
          <w:rFonts w:ascii="Times New Roman" w:hAnsi="Times New Roman" w:eastAsia="PingFang SC"/>
          <w:b w:val="0"/>
          <w:i w:val="0"/>
          <w:sz w:val="21"/>
        </w:rPr>
        <w:t>，需纳入 F21–F23 的文献/原作/适配审计后再冻结；本材料未擅自改变现有运行计划或替换基线。</w:t>
      </w:r>
    </w:p>
    <w:p>
      <w:pPr>
        <w:pStyle w:val="Heading2"/>
      </w:pPr>
      <w:r>
        <w:t>2.5 实拍方案展开：会上需要确认的规模</w:t>
      </w:r>
    </w:p>
    <w:p>
      <w:r>
        <w:rPr>
          <w:rFonts w:ascii="Times New Roman" w:hAnsi="Times New Roman" w:eastAsia="PingFang SC"/>
          <w:b/>
          <w:i w:val="0"/>
          <w:sz w:val="21"/>
        </w:rPr>
        <w:t>六组候选：</w:t>
      </w:r>
      <w:r>
        <w:rPr>
          <w:rFonts w:ascii="Times New Roman" w:hAnsi="Times New Roman" w:eastAsia="PingFang SC"/>
          <w:b w:val="0"/>
          <w:i w:val="0"/>
          <w:sz w:val="21"/>
        </w:rPr>
        <w:t xml:space="preserve"> 洁净、同形状常数遮挡、匹配十字 EOT、完整参照、仅去 ASIT、仅去 RaS。若最终主方法不同于这些组且要宣称其物理效果，需要另加一组。</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1F3B73"/>
          </w:tcPr>
          <w:p>
            <w:pPr>
              <w:spacing w:after="40"/>
            </w:pPr>
            <w:r>
              <w:rPr>
                <w:b/>
                <w:color w:val="FFFFFF"/>
              </w:rPr>
            </w:r>
            <w:r>
              <w:rPr>
                <w:rFonts w:ascii="Times New Roman" w:hAnsi="Times New Roman" w:eastAsia="PingFang SC"/>
                <w:b/>
                <w:i w:val="0"/>
                <w:color w:val="FFFFFF"/>
                <w:sz w:val="19"/>
              </w:rPr>
              <w:t>维度</w:t>
            </w:r>
          </w:p>
        </w:tc>
        <w:tc>
          <w:tcPr>
            <w:tcW w:type="dxa" w:w="3137"/>
            <w:shd w:val="clear" w:fill="1F3B73"/>
          </w:tcPr>
          <w:p>
            <w:pPr>
              <w:spacing w:after="40"/>
            </w:pPr>
            <w:r>
              <w:rPr>
                <w:b/>
                <w:color w:val="FFFFFF"/>
              </w:rPr>
            </w:r>
            <w:r>
              <w:rPr>
                <w:rFonts w:ascii="Times New Roman" w:hAnsi="Times New Roman" w:eastAsia="PingFang SC"/>
                <w:b/>
                <w:i w:val="0"/>
                <w:color w:val="FFFFFF"/>
                <w:sz w:val="19"/>
              </w:rPr>
              <w:t>候选设置</w:t>
            </w:r>
          </w:p>
        </w:tc>
        <w:tc>
          <w:tcPr>
            <w:tcW w:type="dxa" w:w="3137"/>
            <w:shd w:val="clear" w:fill="1F3B73"/>
          </w:tcPr>
          <w:p>
            <w:pPr>
              <w:spacing w:after="40"/>
            </w:pPr>
            <w:r>
              <w:rPr>
                <w:b/>
                <w:color w:val="FFFFFF"/>
              </w:rPr>
            </w:r>
            <w:r>
              <w:rPr>
                <w:rFonts w:ascii="Times New Roman" w:hAnsi="Times New Roman" w:eastAsia="PingFang SC"/>
                <w:b/>
                <w:i w:val="0"/>
                <w:color w:val="FFFFFF"/>
                <w:sz w:val="19"/>
              </w:rPr>
              <w:t>需要限定的解释</w:t>
            </w:r>
          </w:p>
        </w:tc>
      </w:tr>
      <w:tr>
        <w:tc>
          <w:tcPr>
            <w:tcW w:type="dxa" w:w="3137"/>
          </w:tcPr>
          <w:p>
            <w:pPr>
              <w:spacing w:after="40"/>
            </w:pPr>
            <w:r/>
            <w:r>
              <w:rPr>
                <w:rFonts w:ascii="Times New Roman" w:hAnsi="Times New Roman" w:eastAsia="PingFang SC"/>
                <w:b w:val="0"/>
                <w:i w:val="0"/>
                <w:sz w:val="19"/>
              </w:rPr>
              <w:t>受试者</w:t>
            </w:r>
          </w:p>
        </w:tc>
        <w:tc>
          <w:tcPr>
            <w:tcW w:type="dxa" w:w="3137"/>
          </w:tcPr>
          <w:p>
            <w:pPr>
              <w:spacing w:after="40"/>
            </w:pPr>
            <w:r/>
            <w:r>
              <w:rPr>
                <w:rFonts w:ascii="Times New Roman" w:hAnsi="Times New Roman" w:eastAsia="PingFang SC"/>
                <w:b w:val="0"/>
                <w:i w:val="0"/>
                <w:sz w:val="19"/>
              </w:rPr>
              <w:t>20 人，每人固定一掌；分多个 session，许可、休息和退出规则先定</w:t>
            </w:r>
          </w:p>
        </w:tc>
        <w:tc>
          <w:tcPr>
            <w:tcW w:type="dxa" w:w="3137"/>
          </w:tcPr>
          <w:p>
            <w:pPr>
              <w:spacing w:after="40"/>
            </w:pPr>
            <w:r/>
            <w:r>
              <w:rPr>
                <w:rFonts w:ascii="Times New Roman" w:hAnsi="Times New Roman" w:eastAsia="PingFang SC"/>
                <w:b w:val="0"/>
                <w:i w:val="0"/>
                <w:sz w:val="19"/>
              </w:rPr>
              <w:t>20 人是预算草案，不是已经证明统计功效足够；先按聚类精度估算</w:t>
            </w:r>
          </w:p>
        </w:tc>
      </w:tr>
      <w:tr>
        <w:tc>
          <w:tcPr>
            <w:tcW w:type="dxa" w:w="3137"/>
            <w:shd w:val="clear" w:fill="EEF3FA"/>
          </w:tcPr>
          <w:p>
            <w:pPr>
              <w:spacing w:after="40"/>
            </w:pPr>
            <w:r/>
            <w:r>
              <w:rPr>
                <w:rFonts w:ascii="Times New Roman" w:hAnsi="Times New Roman" w:eastAsia="PingFang SC"/>
                <w:b w:val="0"/>
                <w:i w:val="0"/>
                <w:sz w:val="19"/>
              </w:rPr>
              <w:t>设备</w:t>
            </w:r>
          </w:p>
        </w:tc>
        <w:tc>
          <w:tcPr>
            <w:tcW w:type="dxa" w:w="3137"/>
            <w:shd w:val="clear" w:fill="EEF3FA"/>
          </w:tcPr>
          <w:p>
            <w:pPr>
              <w:spacing w:after="40"/>
            </w:pPr>
            <w:r/>
            <w:r>
              <w:rPr>
                <w:rFonts w:ascii="Times New Roman" w:hAnsi="Times New Roman" w:eastAsia="PingFang SC"/>
                <w:b w:val="0"/>
                <w:i w:val="0"/>
                <w:sz w:val="19"/>
              </w:rPr>
              <w:t>2 台真实不同设备，两台均覆盖各组与条件</w:t>
            </w:r>
          </w:p>
        </w:tc>
        <w:tc>
          <w:tcPr>
            <w:tcW w:type="dxa" w:w="3137"/>
            <w:shd w:val="clear" w:fill="EEF3FA"/>
          </w:tcPr>
          <w:p>
            <w:pPr>
              <w:spacing w:after="40"/>
            </w:pPr>
            <w:r/>
            <w:r>
              <w:rPr>
                <w:rFonts w:ascii="Times New Roman" w:hAnsi="Times New Roman" w:eastAsia="PingFang SC"/>
                <w:b w:val="0"/>
                <w:i w:val="0"/>
                <w:sz w:val="19"/>
              </w:rPr>
              <w:t>不能把不同 JPEG 压缩当成不同设备</w:t>
            </w:r>
          </w:p>
        </w:tc>
      </w:tr>
      <w:tr>
        <w:tc>
          <w:tcPr>
            <w:tcW w:type="dxa" w:w="3137"/>
          </w:tcPr>
          <w:p>
            <w:pPr>
              <w:spacing w:after="40"/>
            </w:pPr>
            <w:r/>
            <w:r>
              <w:rPr>
                <w:rFonts w:ascii="Times New Roman" w:hAnsi="Times New Roman" w:eastAsia="PingFang SC"/>
                <w:b w:val="0"/>
                <w:i w:val="0"/>
                <w:sz w:val="19"/>
              </w:rPr>
              <w:t>标称条件</w:t>
            </w:r>
          </w:p>
        </w:tc>
        <w:tc>
          <w:tcPr>
            <w:tcW w:type="dxa" w:w="3137"/>
          </w:tcPr>
          <w:p>
            <w:pPr>
              <w:spacing w:after="40"/>
            </w:pPr>
            <w:r/>
            <w:r>
              <w:rPr>
                <w:rFonts w:ascii="Times New Roman" w:hAnsi="Times New Roman" w:eastAsia="PingFang SC"/>
                <w:b w:val="0"/>
                <w:i w:val="0"/>
                <w:sz w:val="19"/>
              </w:rPr>
              <w:t>约 27.5 cm、正对掌面、约 500 lx、固定中心贴附</w:t>
            </w:r>
          </w:p>
        </w:tc>
        <w:tc>
          <w:tcPr>
            <w:tcW w:type="dxa" w:w="3137"/>
          </w:tcPr>
          <w:p>
            <w:pPr>
              <w:spacing w:after="40"/>
            </w:pPr>
            <w:r/>
            <w:r>
              <w:rPr>
                <w:rFonts w:ascii="Times New Roman" w:hAnsi="Times New Roman" w:eastAsia="PingFang SC"/>
                <w:b w:val="0"/>
                <w:i w:val="0"/>
                <w:sz w:val="19"/>
              </w:rPr>
              <w:t>需测量实际值、容差及曝光策略，不假设相机设置一致</w:t>
            </w:r>
          </w:p>
        </w:tc>
      </w:tr>
      <w:tr>
        <w:tc>
          <w:tcPr>
            <w:tcW w:type="dxa" w:w="3137"/>
            <w:shd w:val="clear" w:fill="EEF3FA"/>
          </w:tcPr>
          <w:p>
            <w:pPr>
              <w:spacing w:after="40"/>
            </w:pPr>
            <w:r/>
            <w:r>
              <w:rPr>
                <w:rFonts w:ascii="Times New Roman" w:hAnsi="Times New Roman" w:eastAsia="PingFang SC"/>
                <w:b w:val="0"/>
                <w:i w:val="0"/>
                <w:sz w:val="19"/>
              </w:rPr>
              <w:t>姿态变化</w:t>
            </w:r>
          </w:p>
        </w:tc>
        <w:tc>
          <w:tcPr>
            <w:tcW w:type="dxa" w:w="3137"/>
            <w:shd w:val="clear" w:fill="EEF3FA"/>
          </w:tcPr>
          <w:p>
            <w:pPr>
              <w:spacing w:after="40"/>
            </w:pPr>
            <w:r/>
            <w:r>
              <w:rPr>
                <w:rFonts w:ascii="Times New Roman" w:hAnsi="Times New Roman" w:eastAsia="PingFang SC"/>
                <w:b w:val="0"/>
                <w:i w:val="0"/>
                <w:sz w:val="19"/>
              </w:rPr>
              <w:t>单一预设轴 −15° / ＋15°，其他因素保持标称</w:t>
            </w:r>
          </w:p>
        </w:tc>
        <w:tc>
          <w:tcPr>
            <w:tcW w:type="dxa" w:w="3137"/>
            <w:shd w:val="clear" w:fill="EEF3FA"/>
          </w:tcPr>
          <w:p>
            <w:pPr>
              <w:spacing w:after="40"/>
            </w:pPr>
            <w:r/>
            <w:r>
              <w:rPr>
                <w:rFonts w:ascii="Times New Roman" w:hAnsi="Times New Roman" w:eastAsia="PingFang SC"/>
                <w:b w:val="0"/>
                <w:i w:val="0"/>
                <w:sz w:val="19"/>
              </w:rPr>
              <w:t>两档，不等于覆盖所有三维姿态</w:t>
            </w:r>
          </w:p>
        </w:tc>
      </w:tr>
      <w:tr>
        <w:tc>
          <w:tcPr>
            <w:tcW w:type="dxa" w:w="3137"/>
          </w:tcPr>
          <w:p>
            <w:pPr>
              <w:spacing w:after="40"/>
            </w:pPr>
            <w:r/>
            <w:r>
              <w:rPr>
                <w:rFonts w:ascii="Times New Roman" w:hAnsi="Times New Roman" w:eastAsia="PingFang SC"/>
                <w:b w:val="0"/>
                <w:i w:val="0"/>
                <w:sz w:val="19"/>
              </w:rPr>
              <w:t>距离变化</w:t>
            </w:r>
          </w:p>
        </w:tc>
        <w:tc>
          <w:tcPr>
            <w:tcW w:type="dxa" w:w="3137"/>
          </w:tcPr>
          <w:p>
            <w:pPr>
              <w:spacing w:after="40"/>
            </w:pPr>
            <w:r/>
            <w:r>
              <w:rPr>
                <w:rFonts w:ascii="Times New Roman" w:hAnsi="Times New Roman" w:eastAsia="PingFang SC"/>
                <w:b w:val="0"/>
                <w:i w:val="0"/>
                <w:sz w:val="19"/>
              </w:rPr>
              <w:t>20 / 35 cm</w:t>
            </w:r>
          </w:p>
        </w:tc>
        <w:tc>
          <w:tcPr>
            <w:tcW w:type="dxa" w:w="3137"/>
          </w:tcPr>
          <w:p>
            <w:pPr>
              <w:spacing w:after="40"/>
            </w:pPr>
            <w:r/>
            <w:r>
              <w:rPr>
                <w:rFonts w:ascii="Times New Roman" w:hAnsi="Times New Roman" w:eastAsia="PingFang SC"/>
                <w:b w:val="0"/>
                <w:i w:val="0"/>
                <w:sz w:val="19"/>
              </w:rPr>
              <w:t>两档；不得拍后自由缩放补丁补偿</w:t>
            </w:r>
          </w:p>
        </w:tc>
      </w:tr>
      <w:tr>
        <w:tc>
          <w:tcPr>
            <w:tcW w:type="dxa" w:w="3137"/>
            <w:shd w:val="clear" w:fill="EEF3FA"/>
          </w:tcPr>
          <w:p>
            <w:pPr>
              <w:spacing w:after="40"/>
            </w:pPr>
            <w:r/>
            <w:r>
              <w:rPr>
                <w:rFonts w:ascii="Times New Roman" w:hAnsi="Times New Roman" w:eastAsia="PingFang SC"/>
                <w:b w:val="0"/>
                <w:i w:val="0"/>
                <w:sz w:val="19"/>
              </w:rPr>
              <w:t>光照变化</w:t>
            </w:r>
          </w:p>
        </w:tc>
        <w:tc>
          <w:tcPr>
            <w:tcW w:type="dxa" w:w="3137"/>
            <w:shd w:val="clear" w:fill="EEF3FA"/>
          </w:tcPr>
          <w:p>
            <w:pPr>
              <w:spacing w:after="40"/>
            </w:pPr>
            <w:r/>
            <w:r>
              <w:rPr>
                <w:rFonts w:ascii="Times New Roman" w:hAnsi="Times New Roman" w:eastAsia="PingFang SC"/>
                <w:b w:val="0"/>
                <w:i w:val="0"/>
                <w:sz w:val="19"/>
              </w:rPr>
              <w:t>约 200 / 800 lx，记录方向与自动曝光状态</w:t>
            </w:r>
          </w:p>
        </w:tc>
        <w:tc>
          <w:tcPr>
            <w:tcW w:type="dxa" w:w="3137"/>
            <w:shd w:val="clear" w:fill="EEF3FA"/>
          </w:tcPr>
          <w:p>
            <w:pPr>
              <w:spacing w:after="40"/>
            </w:pPr>
            <w:r/>
            <w:r>
              <w:rPr>
                <w:rFonts w:ascii="Times New Roman" w:hAnsi="Times New Roman" w:eastAsia="PingFang SC"/>
                <w:b w:val="0"/>
                <w:i w:val="0"/>
                <w:sz w:val="19"/>
              </w:rPr>
              <w:t>两档；不从亮度 jitter 推定实拍已覆盖</w:t>
            </w:r>
          </w:p>
        </w:tc>
      </w:tr>
      <w:tr>
        <w:tc>
          <w:tcPr>
            <w:tcW w:type="dxa" w:w="3137"/>
          </w:tcPr>
          <w:p>
            <w:pPr>
              <w:spacing w:after="40"/>
            </w:pPr>
            <w:r/>
            <w:r>
              <w:rPr>
                <w:rFonts w:ascii="Times New Roman" w:hAnsi="Times New Roman" w:eastAsia="PingFang SC"/>
                <w:b w:val="0"/>
                <w:i w:val="0"/>
                <w:sz w:val="19"/>
              </w:rPr>
              <w:t>贴附变化</w:t>
            </w:r>
          </w:p>
        </w:tc>
        <w:tc>
          <w:tcPr>
            <w:tcW w:type="dxa" w:w="3137"/>
          </w:tcPr>
          <w:p>
            <w:pPr>
              <w:spacing w:after="40"/>
            </w:pPr>
            <w:r/>
            <w:r>
              <w:rPr>
                <w:rFonts w:ascii="Times New Roman" w:hAnsi="Times New Roman" w:eastAsia="PingFang SC"/>
                <w:b w:val="0"/>
                <w:i w:val="0"/>
                <w:sz w:val="19"/>
              </w:rPr>
              <w:t>沿预设掌面方向 −5 / ＋5 mm</w:t>
            </w:r>
          </w:p>
        </w:tc>
        <w:tc>
          <w:tcPr>
            <w:tcW w:type="dxa" w:w="3137"/>
          </w:tcPr>
          <w:p>
            <w:pPr>
              <w:spacing w:after="40"/>
            </w:pPr>
            <w:r/>
            <w:r>
              <w:rPr>
                <w:rFonts w:ascii="Times New Roman" w:hAnsi="Times New Roman" w:eastAsia="PingFang SC"/>
                <w:b w:val="0"/>
                <w:i w:val="0"/>
                <w:sz w:val="19"/>
              </w:rPr>
              <w:t>两档；人工贴附误差与相机姿态分开</w:t>
            </w:r>
          </w:p>
        </w:tc>
      </w:tr>
      <w:tr>
        <w:tc>
          <w:tcPr>
            <w:tcW w:type="dxa" w:w="3137"/>
            <w:shd w:val="clear" w:fill="EEF3FA"/>
          </w:tcPr>
          <w:p>
            <w:pPr>
              <w:spacing w:after="40"/>
            </w:pPr>
            <w:r/>
            <w:r>
              <w:rPr>
                <w:rFonts w:ascii="Times New Roman" w:hAnsi="Times New Roman" w:eastAsia="PingFang SC"/>
                <w:b w:val="0"/>
                <w:i w:val="0"/>
                <w:sz w:val="19"/>
              </w:rPr>
              <w:t>合计</w:t>
            </w:r>
          </w:p>
        </w:tc>
        <w:tc>
          <w:tcPr>
            <w:tcW w:type="dxa" w:w="3137"/>
            <w:shd w:val="clear" w:fill="EEF3FA"/>
          </w:tcPr>
          <w:p>
            <w:pPr>
              <w:spacing w:after="40"/>
            </w:pPr>
            <w:r/>
            <w:r>
              <w:rPr>
                <w:rFonts w:ascii="Times New Roman" w:hAnsi="Times New Roman" w:eastAsia="PingFang SC"/>
                <w:b w:val="0"/>
                <w:i w:val="0"/>
                <w:sz w:val="19"/>
              </w:rPr>
              <w:t>1 标称＋8 单因素非标称条件；所有组和设备均覆盖</w:t>
            </w:r>
          </w:p>
        </w:tc>
        <w:tc>
          <w:tcPr>
            <w:tcW w:type="dxa" w:w="3137"/>
            <w:shd w:val="clear" w:fill="EEF3FA"/>
          </w:tcPr>
          <w:p>
            <w:pPr>
              <w:spacing w:after="40"/>
            </w:pPr>
            <w:r/>
            <w:r>
              <w:rPr>
                <w:rFonts w:ascii="Times New Roman" w:hAnsi="Times New Roman" w:eastAsia="PingFang SC"/>
                <w:b w:val="0"/>
                <w:i w:val="0"/>
                <w:sz w:val="19"/>
              </w:rPr>
              <w:t>不含姿态×光照等交互；需要研究交互时再预注册额外组合</w:t>
            </w:r>
          </w:p>
        </w:tc>
      </w:tr>
    </w:tbl>
    <w:p>
      <w:pPr>
        <w:spacing w:after="80"/>
      </w:pPr>
    </w:p>
    <w:p>
      <w:r>
        <w:rPr>
          <w:rFonts w:ascii="Times New Roman" w:hAnsi="Times New Roman" w:eastAsia="PingFang SC"/>
          <w:b w:val="0"/>
          <w:i w:val="0"/>
          <w:sz w:val="21"/>
        </w:rPr>
        <w:t>规模按</w:t>
      </w:r>
      <w:r>
        <w:rPr>
          <w:rFonts w:ascii="Times New Roman" w:hAnsi="Times New Roman" w:eastAsia="PingFang SC"/>
          <w:b/>
          <w:i w:val="0"/>
          <w:sz w:val="21"/>
        </w:rPr>
        <w:t>单一攻击目标模式、每攻击组一个预选固定打印物</w:t>
      </w:r>
      <w:r>
        <w:rPr>
          <w:rFonts w:ascii="Times New Roman" w:hAnsi="Times New Roman" w:eastAsia="PingFang SC"/>
          <w:b w:val="0"/>
          <w:i w:val="0"/>
          <w:sz w:val="21"/>
        </w:rPr>
        <w:t>估算，跨人重复使用，不能给每位受试者临时换最佳图案。打印物按开发证据或事前 seed 选定，非测试择优；若要推断跨训练种子/打印批次稳定性，需增加打印物并另计成本。</w:t>
      </w:r>
    </w:p>
    <w:p>
      <w:pPr>
        <w:pStyle w:val="EvidenceBullet"/>
      </w:pPr>
      <w:r>
        <w:rPr>
          <w:rFonts w:ascii="Times New Roman" w:hAnsi="Times New Roman" w:eastAsia="PingFang SC"/>
          <w:b w:val="0"/>
          <w:i w:val="0"/>
          <w:sz w:val="21"/>
        </w:rPr>
        <w:t>• 一模式候选：</w:t>
      </w:r>
      <w:r>
        <w:rPr>
          <w:rFonts w:ascii="Times New Roman" w:hAnsi="Times New Roman" w:eastAsia="PingFang SC"/>
          <w:b/>
          <w:i w:val="0"/>
          <w:sz w:val="21"/>
        </w:rPr>
        <w:t>2,400＋9,600＝12,000 次新采集</w:t>
      </w:r>
      <w:r>
        <w:rPr>
          <w:rFonts w:ascii="Times New Roman" w:hAnsi="Times New Roman" w:eastAsia="PingFang SC"/>
          <w:b w:val="0"/>
          <w:i w:val="0"/>
          <w:sz w:val="21"/>
        </w:rPr>
        <w:t>，约每人 600 次，必须拆分 session 并评估负担；多模型评分不增加照片数量。</w:t>
      </w:r>
    </w:p>
    <w:p>
      <w:pPr>
        <w:pStyle w:val="EvidenceBullet"/>
      </w:pPr>
      <w:r>
        <w:rPr>
          <w:rFonts w:ascii="Times New Roman" w:hAnsi="Times New Roman" w:eastAsia="PingFang SC"/>
          <w:b w:val="0"/>
          <w:i w:val="0"/>
          <w:sz w:val="21"/>
        </w:rPr>
        <w:t xml:space="preserve">• 若未定向与定向两个模式分别完整采集，不复用任何组时上限为 </w:t>
      </w:r>
      <w:r>
        <w:rPr>
          <w:rFonts w:ascii="Times New Roman" w:hAnsi="Times New Roman" w:eastAsia="PingFang SC"/>
          <w:b/>
          <w:i w:val="0"/>
          <w:sz w:val="21"/>
        </w:rPr>
        <w:t>24,000 次</w:t>
      </w:r>
      <w:r>
        <w:rPr>
          <w:rFonts w:ascii="Times New Roman" w:hAnsi="Times New Roman" w:eastAsia="PingFang SC"/>
          <w:b w:val="0"/>
          <w:i w:val="0"/>
          <w:sz w:val="21"/>
        </w:rPr>
        <w:t>；共同洁净对照是否可复用须事先设计，不能简单当独立样本重复计数。多定向目标另计。</w:t>
      </w:r>
    </w:p>
    <w:p>
      <w:pPr>
        <w:pStyle w:val="EvidenceBullet"/>
      </w:pPr>
      <w:r>
        <w:rPr>
          <w:rFonts w:ascii="Times New Roman" w:hAnsi="Times New Roman" w:eastAsia="PingFang SC"/>
          <w:b w:val="0"/>
          <w:i w:val="0"/>
          <w:sz w:val="21"/>
        </w:rPr>
        <w:t>• 标称每人每条件 10 次、非标称 5 次，</w:t>
      </w:r>
      <w:r>
        <w:rPr>
          <w:rFonts w:ascii="Times New Roman" w:hAnsi="Times New Roman" w:eastAsia="PingFang SC"/>
          <w:b/>
          <w:i w:val="0"/>
          <w:sz w:val="21"/>
        </w:rPr>
        <w:t>不能合并不同条件凑 ASR@20</w:t>
      </w:r>
      <w:r>
        <w:rPr>
          <w:rFonts w:ascii="Times New Roman" w:hAnsi="Times New Roman" w:eastAsia="PingFang SC"/>
          <w:b w:val="0"/>
          <w:i w:val="0"/>
          <w:sz w:val="21"/>
        </w:rPr>
        <w:t>。若仍需新数据的 20 次重试操作点，应单独将相应同条件重复数提高到 20，并追加预算；旧 20 次数据只在顺序可恢复时重算。</w:t>
      </w:r>
    </w:p>
    <w:p>
      <w:pPr>
        <w:pStyle w:val="EvidenceBullet"/>
      </w:pPr>
      <w:r>
        <w:rPr>
          <w:rFonts w:ascii="Times New Roman" w:hAnsi="Times New Roman" w:eastAsia="PingFang SC"/>
          <w:b w:val="0"/>
          <w:i w:val="0"/>
          <w:sz w:val="21"/>
        </w:rPr>
        <w:t>• 不允许以数字退化、合成图或手填 success 替代缺失实拍。实际是否采用此规模，应以许可、人员负担、目标区间精度和设备可用性共同决定。</w:t>
      </w:r>
    </w:p>
    <w:p>
      <w:pPr>
        <w:pStyle w:val="Heading2"/>
      </w:pPr>
      <w:r>
        <w:t>2.6 总预算如何理解</w:t>
      </w:r>
    </w:p>
    <w:p>
      <w:r>
        <w:rPr>
          <w:rFonts w:ascii="Times New Roman" w:hAnsi="Times New Roman" w:eastAsia="PingFang SC"/>
          <w:b/>
          <w:i w:val="0"/>
          <w:sz w:val="21"/>
        </w:rPr>
        <w:t>756 次只是三种方法的基础分类训练量，不是完整项目总量。</w:t>
      </w:r>
      <w:r>
        <w:rPr>
          <w:rFonts w:ascii="Times New Roman" w:hAnsi="Times New Roman" w:eastAsia="PingFang SC"/>
          <w:b w:val="0"/>
          <w:i w:val="0"/>
          <w:sz w:val="21"/>
        </w:rPr>
        <w:t xml:space="preserve"> 验证专用目标、消融、几何、留一集成、防御及原作复现有额外训练；许多评估和相同配置又可以复用，所以不能机械相加。</w:t>
      </w:r>
    </w:p>
    <w:p>
      <w:r>
        <w:rPr>
          <w:rFonts w:ascii="Times New Roman" w:hAnsi="Times New Roman" w:eastAsia="PingFang SC"/>
          <w:b w:val="0"/>
          <w:i w:val="0"/>
          <w:sz w:val="21"/>
        </w:rPr>
        <w:t>先用实际远程 GPU 做少量开发集计时，再按“唯一训练/评估单元 × 实测成本”汇总 GPU-hours、存储和实拍人时。当前没有依据承诺“几天跑完”；也不能把 8 张 GPU 当作必然八倍加速。</w:t>
      </w:r>
    </w:p>
    <w:p>
      <w:r>
        <w:br w:type="page"/>
      </w:r>
    </w:p>
    <w:p>
      <w:pPr>
        <w:pStyle w:val="Heading1"/>
      </w:pPr>
      <w:r>
        <w:t>三、可优化的创新点：建议这样讲</w:t>
      </w:r>
    </w:p>
    <w:p>
      <w:r>
        <w:rPr>
          <w:rFonts w:ascii="Times New Roman" w:hAnsi="Times New Roman" w:eastAsia="PingFang SC"/>
          <w:b/>
          <w:i w:val="0"/>
          <w:sz w:val="21"/>
        </w:rPr>
        <w:t>排序建议：掌纹几何机制为主；部署一致与认证风险为证据主线；防御适用范围为延伸。不要把补齐评测协议本身包装成全新算法。</w:t>
      </w:r>
    </w:p>
    <w:p>
      <w:pPr>
        <w:pStyle w:val="Heading2"/>
      </w:pPr>
      <w:r>
        <w:t>3.1 最新研究对我们的定位有什么影响？</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3137"/>
            <w:shd w:val="clear" w:fill="1F3B73"/>
          </w:tcPr>
          <w:p>
            <w:pPr>
              <w:spacing w:after="40"/>
            </w:pPr>
            <w:r>
              <w:rPr>
                <w:b/>
                <w:color w:val="FFFFFF"/>
              </w:rPr>
            </w:r>
            <w:r>
              <w:rPr>
                <w:rFonts w:ascii="Times New Roman" w:hAnsi="Times New Roman" w:eastAsia="PingFang SC"/>
                <w:b/>
                <w:i w:val="0"/>
                <w:color w:val="FFFFFF"/>
                <w:sz w:val="19"/>
              </w:rPr>
              <w:t>相关研究</w:t>
            </w:r>
          </w:p>
        </w:tc>
        <w:tc>
          <w:tcPr>
            <w:tcW w:type="dxa" w:w="3137"/>
            <w:shd w:val="clear" w:fill="1F3B73"/>
          </w:tcPr>
          <w:p>
            <w:pPr>
              <w:spacing w:after="40"/>
            </w:pPr>
            <w:r>
              <w:rPr>
                <w:b/>
                <w:color w:val="FFFFFF"/>
              </w:rPr>
            </w:r>
            <w:r>
              <w:rPr>
                <w:rFonts w:ascii="Times New Roman" w:hAnsi="Times New Roman" w:eastAsia="PingFang SC"/>
                <w:b/>
                <w:i w:val="0"/>
                <w:color w:val="FFFFFF"/>
                <w:sz w:val="19"/>
              </w:rPr>
              <w:t>已经做了什么</w:t>
            </w:r>
          </w:p>
        </w:tc>
        <w:tc>
          <w:tcPr>
            <w:tcW w:type="dxa" w:w="3137"/>
            <w:shd w:val="clear" w:fill="1F3B73"/>
          </w:tcPr>
          <w:p>
            <w:pPr>
              <w:spacing w:after="40"/>
            </w:pPr>
            <w:r>
              <w:rPr>
                <w:b/>
                <w:color w:val="FFFFFF"/>
              </w:rPr>
            </w:r>
            <w:r>
              <w:rPr>
                <w:rFonts w:ascii="Times New Roman" w:hAnsi="Times New Roman" w:eastAsia="PingFang SC"/>
                <w:b/>
                <w:i w:val="0"/>
                <w:color w:val="FFFFFF"/>
                <w:sz w:val="19"/>
              </w:rPr>
              <w:t>我们不能再直接当独创的内容</w:t>
            </w:r>
          </w:p>
        </w:tc>
      </w:tr>
      <w:tr>
        <w:tc>
          <w:tcPr>
            <w:tcW w:type="dxa" w:w="3137"/>
          </w:tcPr>
          <w:p>
            <w:pPr>
              <w:spacing w:after="40"/>
            </w:pPr>
            <w:r/>
            <w:r>
              <w:rPr>
                <w:rFonts w:ascii="Times New Roman" w:hAnsi="Times New Roman" w:eastAsia="PingFang SC"/>
                <w:b/>
                <w:i w:val="0"/>
                <w:sz w:val="19"/>
              </w:rPr>
              <w:t>CAP，Electronics 2026-08</w:t>
            </w:r>
            <w:r>
              <w:rPr>
                <w:rFonts w:ascii="Times New Roman" w:hAnsi="Times New Roman" w:eastAsia="PingFang SC"/>
                <w:b w:val="0"/>
                <w:i w:val="0"/>
                <w:sz w:val="19"/>
              </w:rPr>
              <w:t xml:space="preserve"> [1]</w:t>
            </w:r>
          </w:p>
        </w:tc>
        <w:tc>
          <w:tcPr>
            <w:tcW w:type="dxa" w:w="3137"/>
          </w:tcPr>
          <w:p>
            <w:pPr>
              <w:spacing w:after="40"/>
            </w:pPr>
            <w:r/>
            <w:r>
              <w:rPr>
                <w:rFonts w:ascii="Times New Roman" w:hAnsi="Times New Roman" w:eastAsia="PingFang SC"/>
                <w:b w:val="0"/>
                <w:i w:val="0"/>
                <w:sz w:val="19"/>
              </w:rPr>
              <w:t>摘要报告风格先验、彩色补丁、灰度模型适配、物理测试及余弦阈值读数</w:t>
            </w:r>
          </w:p>
        </w:tc>
        <w:tc>
          <w:tcPr>
            <w:tcW w:type="dxa" w:w="3137"/>
          </w:tcPr>
          <w:p>
            <w:pPr>
              <w:spacing w:after="40"/>
            </w:pPr>
            <w:r/>
            <w:r>
              <w:rPr>
                <w:rFonts w:ascii="Times New Roman" w:hAnsi="Times New Roman" w:eastAsia="PingFang SC"/>
                <w:b w:val="0"/>
                <w:i w:val="0"/>
                <w:sz w:val="19"/>
              </w:rPr>
              <w:t>“首次研究掌纹物理补丁”“首次引入认证式阈值”不能笼统声称；是否固定通用、规模与阈值校准仍待全文核验</w:t>
            </w:r>
          </w:p>
        </w:tc>
      </w:tr>
      <w:tr>
        <w:tc>
          <w:tcPr>
            <w:tcW w:type="dxa" w:w="3137"/>
            <w:shd w:val="clear" w:fill="EEF3FA"/>
          </w:tcPr>
          <w:p>
            <w:pPr>
              <w:spacing w:after="40"/>
            </w:pPr>
            <w:r/>
            <w:r>
              <w:rPr>
                <w:rFonts w:ascii="Times New Roman" w:hAnsi="Times New Roman" w:eastAsia="PingFang SC"/>
                <w:b/>
                <w:i w:val="0"/>
                <w:sz w:val="19"/>
              </w:rPr>
              <w:t>CSPA，TCSVT 2024</w:t>
            </w:r>
            <w:r>
              <w:rPr>
                <w:rFonts w:ascii="Times New Roman" w:hAnsi="Times New Roman" w:eastAsia="PingFang SC"/>
                <w:b w:val="0"/>
                <w:i w:val="0"/>
                <w:sz w:val="19"/>
              </w:rPr>
              <w:t xml:space="preserve"> [2]</w:t>
            </w:r>
          </w:p>
        </w:tc>
        <w:tc>
          <w:tcPr>
            <w:tcW w:type="dxa" w:w="3137"/>
            <w:shd w:val="clear" w:fill="EEF3FA"/>
          </w:tcPr>
          <w:p>
            <w:pPr>
              <w:spacing w:after="40"/>
            </w:pPr>
            <w:r/>
            <w:r>
              <w:rPr>
                <w:rFonts w:ascii="Times New Roman" w:hAnsi="Times New Roman" w:eastAsia="PingFang SC"/>
                <w:b w:val="0"/>
                <w:i w:val="0"/>
                <w:sz w:val="19"/>
              </w:rPr>
              <w:t>十字形对抗补丁前作，审稿人已明确指出</w:t>
            </w:r>
          </w:p>
        </w:tc>
        <w:tc>
          <w:tcPr>
            <w:tcW w:type="dxa" w:w="3137"/>
            <w:shd w:val="clear" w:fill="EEF3FA"/>
          </w:tcPr>
          <w:p>
            <w:pPr>
              <w:spacing w:after="40"/>
            </w:pPr>
            <w:r/>
            <w:r>
              <w:rPr>
                <w:rFonts w:ascii="Times New Roman" w:hAnsi="Times New Roman" w:eastAsia="PingFang SC"/>
                <w:b w:val="0"/>
                <w:i w:val="0"/>
                <w:sz w:val="19"/>
              </w:rPr>
              <w:t>十字形状本身</w:t>
            </w:r>
          </w:p>
        </w:tc>
      </w:tr>
      <w:tr>
        <w:tc>
          <w:tcPr>
            <w:tcW w:type="dxa" w:w="3137"/>
          </w:tcPr>
          <w:p>
            <w:pPr>
              <w:spacing w:after="40"/>
            </w:pPr>
            <w:r/>
            <w:r>
              <w:rPr>
                <w:rFonts w:ascii="Times New Roman" w:hAnsi="Times New Roman" w:eastAsia="PingFang SC"/>
                <w:b/>
                <w:i w:val="0"/>
                <w:sz w:val="19"/>
              </w:rPr>
              <w:t>UAA，ICCV 2025</w:t>
            </w:r>
            <w:r>
              <w:rPr>
                <w:rFonts w:ascii="Times New Roman" w:hAnsi="Times New Roman" w:eastAsia="PingFang SC"/>
                <w:b w:val="0"/>
                <w:i w:val="0"/>
                <w:sz w:val="19"/>
              </w:rPr>
              <w:t xml:space="preserve"> [3]</w:t>
            </w:r>
          </w:p>
        </w:tc>
        <w:tc>
          <w:tcPr>
            <w:tcW w:type="dxa" w:w="3137"/>
          </w:tcPr>
          <w:p>
            <w:pPr>
              <w:spacing w:after="40"/>
            </w:pPr>
            <w:r/>
            <w:r>
              <w:rPr>
                <w:rFonts w:ascii="Times New Roman" w:hAnsi="Times New Roman" w:eastAsia="PingFang SC"/>
                <w:b w:val="0"/>
                <w:i w:val="0"/>
                <w:sz w:val="19"/>
              </w:rPr>
              <w:t>掌纹识别的对抗式增广，包含空间变换与身份保持纹理变化</w:t>
            </w:r>
          </w:p>
        </w:tc>
        <w:tc>
          <w:tcPr>
            <w:tcW w:type="dxa" w:w="3137"/>
          </w:tcPr>
          <w:p>
            <w:pPr>
              <w:spacing w:after="40"/>
            </w:pPr>
            <w:r/>
            <w:r>
              <w:rPr>
                <w:rFonts w:ascii="Times New Roman" w:hAnsi="Times New Roman" w:eastAsia="PingFang SC"/>
                <w:b w:val="0"/>
                <w:i w:val="0"/>
                <w:sz w:val="19"/>
              </w:rPr>
              <w:t>空间变换首次用于掌纹；但识别器增广不等于固定物理攻击</w:t>
            </w:r>
          </w:p>
        </w:tc>
      </w:tr>
      <w:tr>
        <w:tc>
          <w:tcPr>
            <w:tcW w:type="dxa" w:w="3137"/>
            <w:shd w:val="clear" w:fill="EEF3FA"/>
          </w:tcPr>
          <w:p>
            <w:pPr>
              <w:spacing w:after="40"/>
            </w:pPr>
            <w:r/>
            <w:r>
              <w:rPr>
                <w:rFonts w:ascii="Times New Roman" w:hAnsi="Times New Roman" w:eastAsia="PingFang SC"/>
                <w:b/>
                <w:i w:val="0"/>
                <w:sz w:val="19"/>
              </w:rPr>
              <w:t>Diff-Palm，CVPR 2025</w:t>
            </w:r>
            <w:r>
              <w:rPr>
                <w:rFonts w:ascii="Times New Roman" w:hAnsi="Times New Roman" w:eastAsia="PingFang SC"/>
                <w:b w:val="0"/>
                <w:i w:val="0"/>
                <w:sz w:val="19"/>
              </w:rPr>
              <w:t xml:space="preserve"> [4]</w:t>
            </w:r>
          </w:p>
        </w:tc>
        <w:tc>
          <w:tcPr>
            <w:tcW w:type="dxa" w:w="3137"/>
            <w:shd w:val="clear" w:fill="EEF3FA"/>
          </w:tcPr>
          <w:p>
            <w:pPr>
              <w:spacing w:after="40"/>
            </w:pPr>
            <w:r/>
            <w:r>
              <w:rPr>
                <w:rFonts w:ascii="Times New Roman" w:hAnsi="Times New Roman" w:eastAsia="PingFang SC"/>
                <w:b w:val="0"/>
                <w:i w:val="0"/>
                <w:sz w:val="19"/>
              </w:rPr>
              <w:t>褶线条件生成与类内变化控制，为掌纹结构研究提供动机</w:t>
            </w:r>
          </w:p>
        </w:tc>
        <w:tc>
          <w:tcPr>
            <w:tcW w:type="dxa" w:w="3137"/>
            <w:shd w:val="clear" w:fill="EEF3FA"/>
          </w:tcPr>
          <w:p>
            <w:pPr>
              <w:spacing w:after="40"/>
            </w:pPr>
            <w:r/>
            <w:r>
              <w:rPr>
                <w:rFonts w:ascii="Times New Roman" w:hAnsi="Times New Roman" w:eastAsia="PingFang SC"/>
                <w:b w:val="0"/>
                <w:i w:val="0"/>
                <w:sz w:val="19"/>
              </w:rPr>
              <w:t>不能由其生成效果推断“所有识别器主要依赖主线”</w:t>
            </w:r>
          </w:p>
        </w:tc>
      </w:tr>
      <w:tr>
        <w:tc>
          <w:tcPr>
            <w:tcW w:type="dxa" w:w="3137"/>
          </w:tcPr>
          <w:p>
            <w:pPr>
              <w:spacing w:after="40"/>
            </w:pPr>
            <w:r/>
            <w:r>
              <w:rPr>
                <w:rFonts w:ascii="Times New Roman" w:hAnsi="Times New Roman" w:eastAsia="PingFang SC"/>
                <w:b/>
                <w:i w:val="0"/>
                <w:sz w:val="19"/>
              </w:rPr>
              <w:t>完整 ROI，TIP 2024；FedPalm，TIFS 2026</w:t>
            </w:r>
            <w:r>
              <w:rPr>
                <w:rFonts w:ascii="Times New Roman" w:hAnsi="Times New Roman" w:eastAsia="PingFang SC"/>
                <w:b w:val="0"/>
                <w:i w:val="0"/>
                <w:sz w:val="19"/>
              </w:rPr>
              <w:t xml:space="preserve"> [5–6]</w:t>
            </w:r>
          </w:p>
        </w:tc>
        <w:tc>
          <w:tcPr>
            <w:tcW w:type="dxa" w:w="3137"/>
          </w:tcPr>
          <w:p>
            <w:pPr>
              <w:spacing w:after="40"/>
            </w:pPr>
            <w:r/>
            <w:r>
              <w:rPr>
                <w:rFonts w:ascii="Times New Roman" w:hAnsi="Times New Roman" w:eastAsia="PingFang SC"/>
                <w:b w:val="0"/>
                <w:i w:val="0"/>
                <w:sz w:val="19"/>
              </w:rPr>
              <w:t>分别研究无约束 ROI、闭集/开集验证</w:t>
            </w:r>
          </w:p>
        </w:tc>
        <w:tc>
          <w:tcPr>
            <w:tcW w:type="dxa" w:w="3137"/>
          </w:tcPr>
          <w:p>
            <w:pPr>
              <w:spacing w:after="40"/>
            </w:pPr>
            <w:r/>
            <w:r>
              <w:rPr>
                <w:rFonts w:ascii="Times New Roman" w:hAnsi="Times New Roman" w:eastAsia="PingFang SC"/>
                <w:b w:val="0"/>
                <w:i w:val="0"/>
                <w:sz w:val="19"/>
              </w:rPr>
              <w:t>把预对齐 ROI 结果泛化到完整采集系统；把闭集分类改名开集</w:t>
            </w:r>
          </w:p>
        </w:tc>
      </w:tr>
      <w:tr>
        <w:tc>
          <w:tcPr>
            <w:tcW w:type="dxa" w:w="3137"/>
            <w:shd w:val="clear" w:fill="EEF3FA"/>
          </w:tcPr>
          <w:p>
            <w:pPr>
              <w:spacing w:after="40"/>
            </w:pPr>
            <w:r/>
            <w:r>
              <w:rPr>
                <w:rFonts w:ascii="Times New Roman" w:hAnsi="Times New Roman" w:eastAsia="PingFang SC"/>
                <w:b/>
                <w:i w:val="0"/>
                <w:sz w:val="19"/>
              </w:rPr>
              <w:t>PalmBridge、X-Palm，2026 预印本</w:t>
            </w:r>
            <w:r>
              <w:rPr>
                <w:rFonts w:ascii="Times New Roman" w:hAnsi="Times New Roman" w:eastAsia="PingFang SC"/>
                <w:b w:val="0"/>
                <w:i w:val="0"/>
                <w:sz w:val="19"/>
              </w:rPr>
              <w:t xml:space="preserve"> [7–8]</w:t>
            </w:r>
          </w:p>
        </w:tc>
        <w:tc>
          <w:tcPr>
            <w:tcW w:type="dxa" w:w="3137"/>
            <w:shd w:val="clear" w:fill="EEF3FA"/>
          </w:tcPr>
          <w:p>
            <w:pPr>
              <w:spacing w:after="40"/>
            </w:pPr>
            <w:r/>
            <w:r>
              <w:rPr>
                <w:rFonts w:ascii="Times New Roman" w:hAnsi="Times New Roman" w:eastAsia="PingFang SC"/>
                <w:b w:val="0"/>
                <w:i w:val="0"/>
                <w:sz w:val="19"/>
              </w:rPr>
              <w:t>开放集特征对齐；受控多光谱注册到非受控手机认证的跨域基准</w:t>
            </w:r>
          </w:p>
        </w:tc>
        <w:tc>
          <w:tcPr>
            <w:tcW w:type="dxa" w:w="3137"/>
            <w:shd w:val="clear" w:fill="EEF3FA"/>
          </w:tcPr>
          <w:p>
            <w:pPr>
              <w:spacing w:after="40"/>
            </w:pPr>
            <w:r/>
            <w:r>
              <w:rPr>
                <w:rFonts w:ascii="Times New Roman" w:hAnsi="Times New Roman" w:eastAsia="PingFang SC"/>
                <w:b w:val="0"/>
                <w:i w:val="0"/>
                <w:sz w:val="19"/>
              </w:rPr>
              <w:t>单一受控数据高分不等于跨域认证可靠；预印本不写成已核实正式录用</w:t>
            </w:r>
          </w:p>
        </w:tc>
      </w:tr>
      <w:tr>
        <w:tc>
          <w:tcPr>
            <w:tcW w:type="dxa" w:w="3137"/>
          </w:tcPr>
          <w:p>
            <w:pPr>
              <w:spacing w:after="40"/>
            </w:pPr>
            <w:r/>
            <w:r>
              <w:rPr>
                <w:rFonts w:ascii="Times New Roman" w:hAnsi="Times New Roman" w:eastAsia="PingFang SC"/>
                <w:b/>
                <w:i w:val="0"/>
                <w:sz w:val="19"/>
              </w:rPr>
              <w:t>CertMask，AAAI 2026</w:t>
            </w:r>
            <w:r>
              <w:rPr>
                <w:rFonts w:ascii="Times New Roman" w:hAnsi="Times New Roman" w:eastAsia="PingFang SC"/>
                <w:b w:val="0"/>
                <w:i w:val="0"/>
                <w:sz w:val="19"/>
              </w:rPr>
              <w:t xml:space="preserve"> [9]</w:t>
            </w:r>
          </w:p>
        </w:tc>
        <w:tc>
          <w:tcPr>
            <w:tcW w:type="dxa" w:w="3137"/>
          </w:tcPr>
          <w:p>
            <w:pPr>
              <w:spacing w:after="40"/>
            </w:pPr>
            <w:r/>
            <w:r>
              <w:rPr>
                <w:rFonts w:ascii="Times New Roman" w:hAnsi="Times New Roman" w:eastAsia="PingFang SC"/>
                <w:b w:val="0"/>
                <w:i w:val="0"/>
                <w:sz w:val="19"/>
              </w:rPr>
              <w:t>基于掩码覆盖条件的补丁认证防御</w:t>
            </w:r>
          </w:p>
        </w:tc>
        <w:tc>
          <w:tcPr>
            <w:tcW w:type="dxa" w:w="3137"/>
          </w:tcPr>
          <w:p>
            <w:pPr>
              <w:spacing w:after="40"/>
            </w:pPr>
            <w:r/>
            <w:r>
              <w:rPr>
                <w:rFonts w:ascii="Times New Roman" w:hAnsi="Times New Roman" w:eastAsia="PingFang SC"/>
                <w:b w:val="0"/>
                <w:i w:val="0"/>
                <w:sz w:val="19"/>
              </w:rPr>
              <w:t>范围外攻击成功不代表推翻其范围内保证</w:t>
            </w:r>
          </w:p>
        </w:tc>
      </w:tr>
    </w:tbl>
    <w:p>
      <w:pPr>
        <w:spacing w:after="80"/>
      </w:pPr>
    </w:p>
    <w:p>
      <w:r>
        <w:rPr>
          <w:rFonts w:ascii="Times New Roman" w:hAnsi="Times New Roman" w:eastAsia="PingFang SC"/>
          <w:b w:val="0"/>
          <w:i w:val="0"/>
          <w:sz w:val="21"/>
        </w:rPr>
        <w:t>CAP 的出版元数据与摘要已核实，出版页此次返回访问限制，</w:t>
      </w:r>
      <w:r>
        <w:rPr>
          <w:rFonts w:ascii="Times New Roman" w:hAnsi="Times New Roman" w:eastAsia="PingFang SC"/>
          <w:b/>
          <w:i w:val="0"/>
          <w:sz w:val="21"/>
        </w:rPr>
        <w:t>未读取全文</w:t>
      </w:r>
      <w:r>
        <w:rPr>
          <w:rFonts w:ascii="Times New Roman" w:hAnsi="Times New Roman" w:eastAsia="PingFang SC"/>
          <w:b w:val="0"/>
          <w:i w:val="0"/>
          <w:sz w:val="21"/>
        </w:rPr>
        <w:t>。不能据此声称它缺少通用性、没有公平基线或物理人数少；也不能把“平均相似度过阈值”解读为每次攻击都成功。</w:t>
      </w:r>
    </w:p>
    <w:p>
      <w:pPr>
        <w:pStyle w:val="Heading2"/>
      </w:pPr>
      <w:r>
        <w:t>3.2 四个清晰的创新方向</w:t>
      </w:r>
    </w:p>
    <w:p>
      <w:pPr>
        <w:pStyle w:val="Heading3"/>
      </w:pPr>
      <w:r>
        <w:t>方向 A｜从“十字更强”升级为“掌纹结构与支撑范围的机制研究”</w:t>
      </w:r>
    </w:p>
    <w:p>
      <w:r>
        <w:rPr>
          <w:rFonts w:ascii="Times New Roman" w:hAnsi="Times New Roman" w:eastAsia="PingFang SC"/>
          <w:b/>
          <w:i w:val="0"/>
          <w:sz w:val="21"/>
        </w:rPr>
        <w:t>一句话：</w:t>
      </w:r>
      <w:r>
        <w:rPr>
          <w:rFonts w:ascii="Times New Roman" w:hAnsi="Times New Roman" w:eastAsia="PingFang SC"/>
          <w:b w:val="0"/>
          <w:i w:val="0"/>
          <w:sz w:val="21"/>
        </w:rPr>
        <w:t xml:space="preserve"> 同样的像素预算，补丁覆盖多远、覆盖哪些线结构，可能比形状名称更重要。</w:t>
      </w:r>
    </w:p>
    <w:p>
      <w:r>
        <w:rPr>
          <w:rFonts w:ascii="Times New Roman" w:hAnsi="Times New Roman" w:eastAsia="PingFang SC"/>
          <w:b/>
          <w:i w:val="0"/>
          <w:sz w:val="21"/>
        </w:rPr>
        <w:t>怎么加强：</w:t>
      </w:r>
      <w:r>
        <w:rPr>
          <w:rFonts w:ascii="Times New Roman" w:hAnsi="Times New Roman" w:eastAsia="PingFang SC"/>
          <w:b w:val="0"/>
          <w:i w:val="0"/>
          <w:sz w:val="21"/>
        </w:rPr>
        <w:t xml:space="preserve"> 用 E06 的等面积、同跨度、固定方向与遮挡对照，检验独立线能量覆盖是否具有跨模型解释力；同时报告无法解释的模型和失败样本。</w:t>
      </w:r>
    </w:p>
    <w:p>
      <w:r>
        <w:rPr>
          <w:rFonts w:ascii="Times New Roman" w:hAnsi="Times New Roman" w:eastAsia="PingFang SC"/>
          <w:b/>
          <w:i w:val="0"/>
          <w:sz w:val="21"/>
        </w:rPr>
        <w:t>相对前作：</w:t>
      </w:r>
      <w:r>
        <w:rPr>
          <w:rFonts w:ascii="Times New Roman" w:hAnsi="Times New Roman" w:eastAsia="PingFang SC"/>
          <w:b w:val="0"/>
          <w:i w:val="0"/>
          <w:sz w:val="21"/>
        </w:rPr>
        <w:t xml:space="preserve"> CSPA 提供十字形状，Diff-Palm 提供褶线建模动机；CAAP 可争取的是掌纹上的严格控制证据，而不是形状发明权。</w:t>
      </w:r>
    </w:p>
    <w:p>
      <w:r>
        <w:rPr>
          <w:rFonts w:ascii="Times New Roman" w:hAnsi="Times New Roman" w:eastAsia="PingFang SC"/>
          <w:b/>
          <w:i w:val="0"/>
          <w:sz w:val="21"/>
        </w:rPr>
        <w:t>边界：</w:t>
      </w:r>
      <w:r>
        <w:rPr>
          <w:rFonts w:ascii="Times New Roman" w:hAnsi="Times New Roman" w:eastAsia="PingFang SC"/>
          <w:b w:val="0"/>
          <w:i w:val="0"/>
          <w:sz w:val="21"/>
        </w:rPr>
        <w:t xml:space="preserve"> 相关性只能支持解释变量；只有排除了相应混杂、干预设计有效，才能给出更强机制解释。无关联就如实否定该假设。</w:t>
      </w:r>
    </w:p>
    <w:p>
      <w:pPr>
        <w:pStyle w:val="Heading3"/>
      </w:pPr>
      <w:r>
        <w:t>方向 B｜固定物体下，区分“分类干扰”和“真正的模板风险”</w:t>
      </w:r>
    </w:p>
    <w:p>
      <w:r>
        <w:rPr>
          <w:rFonts w:ascii="Times New Roman" w:hAnsi="Times New Roman" w:eastAsia="PingFang SC"/>
          <w:b/>
          <w:i w:val="0"/>
          <w:sz w:val="21"/>
        </w:rPr>
        <w:t>一句话：</w:t>
      </w:r>
      <w:r>
        <w:rPr>
          <w:rFonts w:ascii="Times New Roman" w:hAnsi="Times New Roman" w:eastAsia="PingFang SC"/>
          <w:b w:val="0"/>
          <w:i w:val="0"/>
          <w:sz w:val="21"/>
        </w:rPr>
        <w:t xml:space="preserve"> 同一张固定补丁可以让类别错误，却未必让目标模板通过；两种风险必须分别测。</w:t>
      </w:r>
    </w:p>
    <w:p>
      <w:r>
        <w:rPr>
          <w:rFonts w:ascii="Times New Roman" w:hAnsi="Times New Roman" w:eastAsia="PingFang SC"/>
          <w:b/>
          <w:i w:val="0"/>
          <w:sz w:val="21"/>
        </w:rPr>
        <w:t>怎么加强：</w:t>
      </w:r>
      <w:r>
        <w:rPr>
          <w:rFonts w:ascii="Times New Roman" w:hAnsi="Times New Roman" w:eastAsia="PingFang SC"/>
          <w:b w:val="0"/>
          <w:i w:val="0"/>
          <w:sz w:val="21"/>
        </w:rPr>
        <w:t xml:space="preserve"> E03 拆掉测试期额外能力；E04 同时报分类错误、本人拒绝与目标接受，并比较分类驱动和验证驱动攻击。E11 再检查这些差异是否保留到实拍。</w:t>
      </w:r>
    </w:p>
    <w:p>
      <w:r>
        <w:rPr>
          <w:rFonts w:ascii="Times New Roman" w:hAnsi="Times New Roman" w:eastAsia="PingFang SC"/>
          <w:b/>
          <w:i w:val="0"/>
          <w:sz w:val="21"/>
        </w:rPr>
        <w:t>相对前作：</w:t>
      </w:r>
      <w:r>
        <w:rPr>
          <w:rFonts w:ascii="Times New Roman" w:hAnsi="Times New Roman" w:eastAsia="PingFang SC"/>
          <w:b w:val="0"/>
          <w:i w:val="0"/>
          <w:sz w:val="21"/>
        </w:rPr>
        <w:t xml:space="preserve"> CAP 已报告余弦阈值相关物理结果，FedPalm/PalmBridge 也关注验证，因此创新不在“多报一个 EER”，而在</w:t>
      </w:r>
      <w:r>
        <w:rPr>
          <w:rFonts w:ascii="Times New Roman" w:hAnsi="Times New Roman" w:eastAsia="PingFang SC"/>
          <w:b/>
          <w:i w:val="0"/>
          <w:sz w:val="21"/>
        </w:rPr>
        <w:t>固定能力、共同样本、固定校准与不同攻击目标的可追溯比较</w:t>
      </w:r>
      <w:r>
        <w:rPr>
          <w:rFonts w:ascii="Times New Roman" w:hAnsi="Times New Roman" w:eastAsia="PingFang SC"/>
          <w:b w:val="0"/>
          <w:i w:val="0"/>
          <w:sz w:val="21"/>
        </w:rPr>
        <w:t>。</w:t>
      </w:r>
    </w:p>
    <w:p>
      <w:r>
        <w:rPr>
          <w:rFonts w:ascii="Times New Roman" w:hAnsi="Times New Roman" w:eastAsia="PingFang SC"/>
          <w:b/>
          <w:i w:val="0"/>
          <w:sz w:val="21"/>
        </w:rPr>
        <w:t>边界：</w:t>
      </w:r>
      <w:r>
        <w:rPr>
          <w:rFonts w:ascii="Times New Roman" w:hAnsi="Times New Roman" w:eastAsia="PingFang SC"/>
          <w:b w:val="0"/>
          <w:i w:val="0"/>
          <w:sz w:val="21"/>
        </w:rPr>
        <w:t xml:space="preserve"> 这是有潜力的领域实证贡献，不自动等于方法突破；任一当前攻击失败都不证明整个验证系统安全。</w:t>
      </w:r>
    </w:p>
    <w:p>
      <w:pPr>
        <w:pStyle w:val="Heading3"/>
      </w:pPr>
      <w:r>
        <w:t>方向 C｜让训练直接服务于固定部署，而非依赖测试期适应</w:t>
      </w:r>
    </w:p>
    <w:p>
      <w:r>
        <w:rPr>
          <w:rFonts w:ascii="Times New Roman" w:hAnsi="Times New Roman" w:eastAsia="PingFang SC"/>
          <w:b/>
          <w:i w:val="0"/>
          <w:sz w:val="21"/>
        </w:rPr>
        <w:t>一句话：</w:t>
      </w:r>
      <w:r>
        <w:rPr>
          <w:rFonts w:ascii="Times New Roman" w:hAnsi="Times New Roman" w:eastAsia="PingFang SC"/>
          <w:b w:val="0"/>
          <w:i w:val="0"/>
          <w:sz w:val="21"/>
        </w:rPr>
        <w:t xml:space="preserve"> 如果物理补丁测试时不能调整，就应检验训练得到的收益是否在“不调整”时仍然存在。</w:t>
      </w:r>
    </w:p>
    <w:p>
      <w:r>
        <w:rPr>
          <w:rFonts w:ascii="Times New Roman" w:hAnsi="Times New Roman" w:eastAsia="PingFang SC"/>
          <w:b/>
          <w:i w:val="0"/>
          <w:sz w:val="21"/>
        </w:rPr>
        <w:t>怎么加强：</w:t>
      </w:r>
      <w:r>
        <w:rPr>
          <w:rFonts w:ascii="Times New Roman" w:hAnsi="Times New Roman" w:eastAsia="PingFang SC"/>
          <w:b w:val="0"/>
          <w:i w:val="0"/>
          <w:sz w:val="21"/>
        </w:rPr>
        <w:t xml:space="preserve"> 先做 E03/E05/E07；若开发集证据显示训练与固定部署明显失配，可比较“固定部署分支也参与优化”与原 ASIT 训练、标准固定 EOT。这不需要先增加一个大网络。</w:t>
      </w:r>
    </w:p>
    <w:p>
      <w:r>
        <w:rPr>
          <w:rFonts w:ascii="Times New Roman" w:hAnsi="Times New Roman" w:eastAsia="PingFang SC"/>
          <w:b/>
          <w:i w:val="0"/>
          <w:sz w:val="21"/>
        </w:rPr>
        <w:t>候选试验规模：</w:t>
      </w:r>
      <w:r>
        <w:rPr>
          <w:rFonts w:ascii="Times New Roman" w:hAnsi="Times New Roman" w:eastAsia="PingFang SC"/>
          <w:b w:val="0"/>
          <w:i w:val="0"/>
          <w:sz w:val="21"/>
        </w:rPr>
        <w:t xml:space="preserve"> 首轮 1 域×3 掌纹模型×3 种子，新增训练候选 </w:t>
      </w:r>
      <w:r>
        <w:rPr>
          <w:rFonts w:ascii="Times New Roman" w:hAnsi="Times New Roman" w:eastAsia="PingFang SC"/>
          <w:b/>
          <w:i w:val="0"/>
          <w:sz w:val="21"/>
        </w:rPr>
        <w:t>9 次</w:t>
      </w:r>
      <w:r>
        <w:rPr>
          <w:rFonts w:ascii="Times New Roman" w:hAnsi="Times New Roman" w:eastAsia="PingFang SC"/>
          <w:b w:val="0"/>
          <w:i w:val="0"/>
          <w:sz w:val="21"/>
        </w:rPr>
        <w:t>；原方法/EOT 对照复用条件完全相同的 run，正式扩展另冻结。</w:t>
      </w:r>
    </w:p>
    <w:p>
      <w:r>
        <w:rPr>
          <w:rFonts w:ascii="Times New Roman" w:hAnsi="Times New Roman" w:eastAsia="PingFang SC"/>
          <w:b/>
          <w:i w:val="0"/>
          <w:sz w:val="21"/>
        </w:rPr>
        <w:t>边界：</w:t>
      </w:r>
      <w:r>
        <w:rPr>
          <w:rFonts w:ascii="Times New Roman" w:hAnsi="Times New Roman" w:eastAsia="PingFang SC"/>
          <w:b w:val="0"/>
          <w:i w:val="0"/>
          <w:sz w:val="21"/>
        </w:rPr>
        <w:t xml:space="preserve"> 这是</w:t>
      </w:r>
      <w:r>
        <w:rPr>
          <w:rFonts w:ascii="Times New Roman" w:hAnsi="Times New Roman" w:eastAsia="PingFang SC"/>
          <w:b/>
          <w:i w:val="0"/>
          <w:sz w:val="21"/>
        </w:rPr>
        <w:t>会议待决的新候选</w:t>
      </w:r>
      <w:r>
        <w:rPr>
          <w:rFonts w:ascii="Times New Roman" w:hAnsi="Times New Roman" w:eastAsia="PingFang SC"/>
          <w:b w:val="0"/>
          <w:i w:val="0"/>
          <w:sz w:val="21"/>
        </w:rPr>
        <w:t>，不是当前主方案已证明的创新；多分支损失和 EOT 都是已有工具，必须排除额外计算收益，且只能依据开发集触发，不能看到最终测试后临时换方法。</w:t>
      </w:r>
    </w:p>
    <w:p>
      <w:pPr>
        <w:pStyle w:val="Heading3"/>
      </w:pPr>
      <w:r>
        <w:t>方向 D｜从“攻击防御后仍高”升级为“解释防御保证的适用范围”</w:t>
      </w:r>
    </w:p>
    <w:p>
      <w:r>
        <w:rPr>
          <w:rFonts w:ascii="Times New Roman" w:hAnsi="Times New Roman" w:eastAsia="PingFang SC"/>
          <w:b/>
          <w:i w:val="0"/>
          <w:sz w:val="21"/>
        </w:rPr>
        <w:t>一句话：</w:t>
      </w:r>
      <w:r>
        <w:rPr>
          <w:rFonts w:ascii="Times New Roman" w:hAnsi="Times New Roman" w:eastAsia="PingFang SC"/>
          <w:b w:val="0"/>
          <w:i w:val="0"/>
          <w:sz w:val="21"/>
        </w:rPr>
        <w:t xml:space="preserve"> 相同像素面积的方块和细长补丁，可能落在不同的防御保证集合中。</w:t>
      </w:r>
    </w:p>
    <w:p>
      <w:r>
        <w:rPr>
          <w:rFonts w:ascii="Times New Roman" w:hAnsi="Times New Roman" w:eastAsia="PingFang SC"/>
          <w:b/>
          <w:i w:val="0"/>
          <w:sz w:val="21"/>
        </w:rPr>
        <w:t>怎么加强：</w:t>
      </w:r>
      <w:r>
        <w:rPr>
          <w:rFonts w:ascii="Times New Roman" w:hAnsi="Times New Roman" w:eastAsia="PingFang SC"/>
          <w:b w:val="0"/>
          <w:i w:val="0"/>
          <w:sz w:val="21"/>
        </w:rPr>
        <w:t xml:space="preserve"> E09 测防御后的自适应攻击；E10 同时报实际支撑、覆盖配置、洁净代价、认证率和经验效果，解释究竟是范围不匹配、模型未获证还是存在需复核的范围内异常。</w:t>
      </w:r>
    </w:p>
    <w:p>
      <w:r>
        <w:rPr>
          <w:rFonts w:ascii="Times New Roman" w:hAnsi="Times New Roman" w:eastAsia="PingFang SC"/>
          <w:b/>
          <w:i w:val="0"/>
          <w:sz w:val="21"/>
        </w:rPr>
        <w:t>相对前作：</w:t>
      </w:r>
      <w:r>
        <w:rPr>
          <w:rFonts w:ascii="Times New Roman" w:hAnsi="Times New Roman" w:eastAsia="PingFang SC"/>
          <w:b w:val="0"/>
          <w:i w:val="0"/>
          <w:sz w:val="21"/>
        </w:rPr>
        <w:t xml:space="preserve"> 与 CertMask/PatchCleanser 的覆盖条件对话，把掌纹几何研究连到防御假设，而不是只增加一张 ASR 表。</w:t>
      </w:r>
    </w:p>
    <w:p>
      <w:r>
        <w:rPr>
          <w:rFonts w:ascii="Times New Roman" w:hAnsi="Times New Roman" w:eastAsia="PingFang SC"/>
          <w:b/>
          <w:i w:val="0"/>
          <w:sz w:val="21"/>
        </w:rPr>
        <w:t>边界：</w:t>
      </w:r>
      <w:r>
        <w:rPr>
          <w:rFonts w:ascii="Times New Roman" w:hAnsi="Times New Roman" w:eastAsia="PingFang SC"/>
          <w:b w:val="0"/>
          <w:i w:val="0"/>
          <w:sz w:val="21"/>
        </w:rPr>
        <w:t xml:space="preserve"> 防御的具体集合须读全文；范围外成功只说明适用边界，不能写“击破认证”。</w:t>
      </w:r>
    </w:p>
    <w:p>
      <w:pPr>
        <w:pStyle w:val="Heading2"/>
      </w:pPr>
      <w:r>
        <w:t>3.3 建议保留与撤回的表述</w:t>
      </w:r>
    </w:p>
    <w:tbl>
      <w:tblPr>
        <w:tblStyle w:val="TableGrid"/>
        <w:tblW w:type="auto" w:w="0"/>
        <w:jc w:val="center"/>
        <w:tblLayout w:type="autofit"/>
        <w:tblLook w:firstColumn="1" w:firstRow="1" w:lastColumn="0" w:lastRow="0" w:noHBand="0" w:noVBand="1" w:val="04A0"/>
      </w:tblPr>
      <w:tblGrid>
        <w:gridCol w:w="4706"/>
        <w:gridCol w:w="4706"/>
      </w:tblGrid>
      <w:tr>
        <w:tc>
          <w:tcPr>
            <w:tcW w:type="dxa" w:w="4706"/>
            <w:shd w:val="clear" w:fill="1F3B73"/>
          </w:tcPr>
          <w:p>
            <w:pPr>
              <w:spacing w:after="40"/>
            </w:pPr>
            <w:r>
              <w:rPr>
                <w:b/>
                <w:color w:val="FFFFFF"/>
              </w:rPr>
            </w:r>
            <w:r>
              <w:rPr>
                <w:rFonts w:ascii="Times New Roman" w:hAnsi="Times New Roman" w:eastAsia="PingFang SC"/>
                <w:b/>
                <w:i w:val="0"/>
                <w:color w:val="FFFFFF"/>
                <w:sz w:val="19"/>
              </w:rPr>
              <w:t>建议保留的研究表述</w:t>
            </w:r>
          </w:p>
        </w:tc>
        <w:tc>
          <w:tcPr>
            <w:tcW w:type="dxa" w:w="4706"/>
            <w:shd w:val="clear" w:fill="1F3B73"/>
          </w:tcPr>
          <w:p>
            <w:pPr>
              <w:spacing w:after="40"/>
            </w:pPr>
            <w:r>
              <w:rPr>
                <w:b/>
                <w:color w:val="FFFFFF"/>
              </w:rPr>
            </w:r>
            <w:r>
              <w:rPr>
                <w:rFonts w:ascii="Times New Roman" w:hAnsi="Times New Roman" w:eastAsia="PingFang SC"/>
                <w:b/>
                <w:i w:val="0"/>
                <w:color w:val="FFFFFF"/>
                <w:sz w:val="19"/>
              </w:rPr>
              <w:t>应避免的过强说法</w:t>
            </w:r>
          </w:p>
        </w:tc>
      </w:tr>
      <w:tr>
        <w:tc>
          <w:tcPr>
            <w:tcW w:type="dxa" w:w="4706"/>
          </w:tcPr>
          <w:p>
            <w:pPr>
              <w:spacing w:after="40"/>
            </w:pPr>
            <w:r/>
            <w:r>
              <w:rPr>
                <w:rFonts w:ascii="Times New Roman" w:hAnsi="Times New Roman" w:eastAsia="PingFang SC"/>
                <w:b w:val="0"/>
                <w:i w:val="0"/>
                <w:sz w:val="19"/>
              </w:rPr>
              <w:t>检验固定部署约束下的真实效果与失败范围</w:t>
            </w:r>
          </w:p>
        </w:tc>
        <w:tc>
          <w:tcPr>
            <w:tcW w:type="dxa" w:w="4706"/>
          </w:tcPr>
          <w:p>
            <w:pPr>
              <w:spacing w:after="40"/>
            </w:pPr>
            <w:r/>
            <w:r>
              <w:rPr>
                <w:rFonts w:ascii="Times New Roman" w:hAnsi="Times New Roman" w:eastAsia="PingFang SC"/>
                <w:b w:val="0"/>
                <w:i w:val="0"/>
                <w:sz w:val="19"/>
              </w:rPr>
              <w:t>oracle 高分已经证明固定印刷攻击有效</w:t>
            </w:r>
          </w:p>
        </w:tc>
      </w:tr>
      <w:tr>
        <w:tc>
          <w:tcPr>
            <w:tcW w:type="dxa" w:w="4706"/>
            <w:shd w:val="clear" w:fill="EEF3FA"/>
          </w:tcPr>
          <w:p>
            <w:pPr>
              <w:spacing w:after="40"/>
            </w:pPr>
            <w:r/>
            <w:r>
              <w:rPr>
                <w:rFonts w:ascii="Times New Roman" w:hAnsi="Times New Roman" w:eastAsia="PingFang SC"/>
                <w:b w:val="0"/>
                <w:i w:val="0"/>
                <w:sz w:val="19"/>
              </w:rPr>
              <w:t>检验线结构覆盖与空间跨度是否解释掌纹效果</w:t>
            </w:r>
          </w:p>
        </w:tc>
        <w:tc>
          <w:tcPr>
            <w:tcW w:type="dxa" w:w="4706"/>
            <w:shd w:val="clear" w:fill="EEF3FA"/>
          </w:tcPr>
          <w:p>
            <w:pPr>
              <w:spacing w:after="40"/>
            </w:pPr>
            <w:r/>
            <w:r>
              <w:rPr>
                <w:rFonts w:ascii="Times New Roman" w:hAnsi="Times New Roman" w:eastAsia="PingFang SC"/>
                <w:b w:val="0"/>
                <w:i w:val="0"/>
                <w:sz w:val="19"/>
              </w:rPr>
              <w:t>十字由我们首次提出；主线相交已经决定成功率</w:t>
            </w:r>
          </w:p>
        </w:tc>
      </w:tr>
      <w:tr>
        <w:tc>
          <w:tcPr>
            <w:tcW w:type="dxa" w:w="4706"/>
          </w:tcPr>
          <w:p>
            <w:pPr>
              <w:spacing w:after="40"/>
            </w:pPr>
            <w:r/>
            <w:r>
              <w:rPr>
                <w:rFonts w:ascii="Times New Roman" w:hAnsi="Times New Roman" w:eastAsia="PingFang SC"/>
                <w:b w:val="0"/>
                <w:i w:val="0"/>
                <w:sz w:val="19"/>
              </w:rPr>
              <w:t>联合研究类别错误、本人拒绝与目标接受</w:t>
            </w:r>
          </w:p>
        </w:tc>
        <w:tc>
          <w:tcPr>
            <w:tcW w:type="dxa" w:w="4706"/>
          </w:tcPr>
          <w:p>
            <w:pPr>
              <w:spacing w:after="40"/>
            </w:pPr>
            <w:r/>
            <w:r>
              <w:rPr>
                <w:rFonts w:ascii="Times New Roman" w:hAnsi="Times New Roman" w:eastAsia="PingFang SC"/>
                <w:b w:val="0"/>
                <w:i w:val="0"/>
                <w:sz w:val="19"/>
              </w:rPr>
              <w:t>类标错误意味着支付/门禁被冒用</w:t>
            </w:r>
          </w:p>
        </w:tc>
      </w:tr>
      <w:tr>
        <w:tc>
          <w:tcPr>
            <w:tcW w:type="dxa" w:w="4706"/>
            <w:shd w:val="clear" w:fill="EEF3FA"/>
          </w:tcPr>
          <w:p>
            <w:pPr>
              <w:spacing w:after="40"/>
            </w:pPr>
            <w:r/>
            <w:r>
              <w:rPr>
                <w:rFonts w:ascii="Times New Roman" w:hAnsi="Times New Roman" w:eastAsia="PingFang SC"/>
                <w:b w:val="0"/>
                <w:i w:val="0"/>
                <w:sz w:val="19"/>
              </w:rPr>
              <w:t>多条件实拍支持所覆盖条件内的结论</w:t>
            </w:r>
          </w:p>
        </w:tc>
        <w:tc>
          <w:tcPr>
            <w:tcW w:type="dxa" w:w="4706"/>
            <w:shd w:val="clear" w:fill="EEF3FA"/>
          </w:tcPr>
          <w:p>
            <w:pPr>
              <w:spacing w:after="40"/>
            </w:pPr>
            <w:r/>
            <w:r>
              <w:rPr>
                <w:rFonts w:ascii="Times New Roman" w:hAnsi="Times New Roman" w:eastAsia="PingFang SC"/>
                <w:b w:val="0"/>
                <w:i w:val="0"/>
                <w:sz w:val="19"/>
              </w:rPr>
              <w:t>对所有设备、姿态、光照都稳健</w:t>
            </w:r>
          </w:p>
        </w:tc>
      </w:tr>
      <w:tr>
        <w:tc>
          <w:tcPr>
            <w:tcW w:type="dxa" w:w="4706"/>
          </w:tcPr>
          <w:p>
            <w:pPr>
              <w:spacing w:after="40"/>
            </w:pPr>
            <w:r/>
            <w:r>
              <w:rPr>
                <w:rFonts w:ascii="Times New Roman" w:hAnsi="Times New Roman" w:eastAsia="PingFang SC"/>
                <w:b w:val="0"/>
                <w:i w:val="0"/>
                <w:sz w:val="19"/>
              </w:rPr>
              <w:t>报告模块增益及稳定的负结果</w:t>
            </w:r>
          </w:p>
        </w:tc>
        <w:tc>
          <w:tcPr>
            <w:tcW w:type="dxa" w:w="4706"/>
          </w:tcPr>
          <w:p>
            <w:pPr>
              <w:spacing w:after="40"/>
            </w:pPr>
            <w:r/>
            <w:r>
              <w:rPr>
                <w:rFonts w:ascii="Times New Roman" w:hAnsi="Times New Roman" w:eastAsia="PingFang SC"/>
                <w:b w:val="0"/>
                <w:i w:val="0"/>
                <w:sz w:val="19"/>
              </w:rPr>
              <w:t>ASIT、RaS、MS-DIFE 缺一不可</w:t>
            </w:r>
          </w:p>
        </w:tc>
      </w:tr>
    </w:tbl>
    <w:p>
      <w:pPr>
        <w:spacing w:after="80"/>
      </w:pPr>
    </w:p>
    <w:p>
      <w:pPr>
        <w:pStyle w:val="Heading1"/>
      </w:pPr>
      <w:r>
        <w:t>四、本次会议建议定下的事项</w:t>
      </w:r>
    </w:p>
    <w:p>
      <w:r>
        <w:rPr>
          <w:rFonts w:ascii="Times New Roman" w:hAnsi="Times New Roman" w:eastAsia="PingFang SC"/>
          <w:b w:val="0"/>
          <w:i w:val="0"/>
          <w:sz w:val="21"/>
        </w:rPr>
        <w:t xml:space="preserve">1. </w:t>
      </w:r>
      <w:r>
        <w:rPr>
          <w:rFonts w:ascii="Times New Roman" w:hAnsi="Times New Roman" w:eastAsia="PingFang SC"/>
          <w:b/>
          <w:i w:val="0"/>
          <w:sz w:val="21"/>
        </w:rPr>
        <w:t>贡献排序：</w:t>
      </w:r>
      <w:r>
        <w:rPr>
          <w:rFonts w:ascii="Times New Roman" w:hAnsi="Times New Roman" w:eastAsia="PingFang SC"/>
          <w:b w:val="0"/>
          <w:i w:val="0"/>
          <w:sz w:val="21"/>
        </w:rPr>
        <w:t xml:space="preserve"> 以几何机制为主要增量，部署/验证一致性为必要证据；防御范围研究作为完整探索分支。</w:t>
      </w:r>
    </w:p>
    <w:p>
      <w:r>
        <w:rPr>
          <w:rFonts w:ascii="Times New Roman" w:hAnsi="Times New Roman" w:eastAsia="PingFang SC"/>
          <w:b w:val="0"/>
          <w:i w:val="0"/>
          <w:sz w:val="21"/>
        </w:rPr>
        <w:t xml:space="preserve">2. </w:t>
      </w:r>
      <w:r>
        <w:rPr>
          <w:rFonts w:ascii="Times New Roman" w:hAnsi="Times New Roman" w:eastAsia="PingFang SC"/>
          <w:b/>
          <w:i w:val="0"/>
          <w:sz w:val="21"/>
        </w:rPr>
        <w:t>直接相关工作：</w:t>
      </w:r>
      <w:r>
        <w:rPr>
          <w:rFonts w:ascii="Times New Roman" w:hAnsi="Times New Roman" w:eastAsia="PingFang SC"/>
          <w:b w:val="0"/>
          <w:i w:val="0"/>
          <w:sz w:val="21"/>
        </w:rPr>
        <w:t xml:space="preserve"> 同意将 CAP 纳入全文核验与能力对照；在取得全文前不预判其缺陷，也不直接承诺同算法可复现。</w:t>
      </w:r>
    </w:p>
    <w:p>
      <w:r>
        <w:rPr>
          <w:rFonts w:ascii="Times New Roman" w:hAnsi="Times New Roman" w:eastAsia="PingFang SC"/>
          <w:b w:val="0"/>
          <w:i w:val="0"/>
          <w:sz w:val="21"/>
        </w:rPr>
        <w:t xml:space="preserve">3. </w:t>
      </w:r>
      <w:r>
        <w:rPr>
          <w:rFonts w:ascii="Times New Roman" w:hAnsi="Times New Roman" w:eastAsia="PingFang SC"/>
          <w:b/>
          <w:i w:val="0"/>
          <w:sz w:val="21"/>
        </w:rPr>
        <w:t>数字规模：</w:t>
      </w:r>
      <w:r>
        <w:rPr>
          <w:rFonts w:ascii="Times New Roman" w:hAnsi="Times New Roman" w:eastAsia="PingFang SC"/>
          <w:b w:val="0"/>
          <w:i w:val="0"/>
          <w:sz w:val="21"/>
        </w:rPr>
        <w:t xml:space="preserve"> 认可 756 次基础分类训练只是起点，先取得模型/数据和 GPU 实测成本，再冻结唯一任务数量与预算。</w:t>
      </w:r>
    </w:p>
    <w:p>
      <w:r>
        <w:rPr>
          <w:rFonts w:ascii="Times New Roman" w:hAnsi="Times New Roman" w:eastAsia="PingFang SC"/>
          <w:b w:val="0"/>
          <w:i w:val="0"/>
          <w:sz w:val="21"/>
        </w:rPr>
        <w:t xml:space="preserve">4. </w:t>
      </w:r>
      <w:r>
        <w:rPr>
          <w:rFonts w:ascii="Times New Roman" w:hAnsi="Times New Roman" w:eastAsia="PingFang SC"/>
          <w:b/>
          <w:i w:val="0"/>
          <w:sz w:val="21"/>
        </w:rPr>
        <w:t>实拍规模：</w:t>
      </w:r>
      <w:r>
        <w:rPr>
          <w:rFonts w:ascii="Times New Roman" w:hAnsi="Times New Roman" w:eastAsia="PingFang SC"/>
          <w:b w:val="0"/>
          <w:i w:val="0"/>
          <w:sz w:val="21"/>
        </w:rPr>
        <w:t xml:space="preserve"> 讨论 20 人、2 设备、六组的可行性、许可与负担；决定是否执行完整单因素扩展，以及哪些目标需要物理声明。</w:t>
      </w:r>
    </w:p>
    <w:p>
      <w:r>
        <w:rPr>
          <w:rFonts w:ascii="Times New Roman" w:hAnsi="Times New Roman" w:eastAsia="PingFang SC"/>
          <w:b w:val="0"/>
          <w:i w:val="0"/>
          <w:sz w:val="21"/>
        </w:rPr>
        <w:t xml:space="preserve">5. </w:t>
      </w:r>
      <w:r>
        <w:rPr>
          <w:rFonts w:ascii="Times New Roman" w:hAnsi="Times New Roman" w:eastAsia="PingFang SC"/>
          <w:b/>
          <w:i w:val="0"/>
          <w:sz w:val="21"/>
        </w:rPr>
        <w:t>证据底线：</w:t>
      </w:r>
      <w:r>
        <w:rPr>
          <w:rFonts w:ascii="Times New Roman" w:hAnsi="Times New Roman" w:eastAsia="PingFang SC"/>
          <w:b w:val="0"/>
          <w:i w:val="0"/>
          <w:sz w:val="21"/>
        </w:rPr>
        <w:t xml:space="preserve"> 负结果照报；缺资产/许可照列；不为正结果无限调参。逐条回复和修订主张最终以有效数据为准。</w:t>
      </w:r>
    </w:p>
    <w:p>
      <w:r>
        <w:rPr>
          <w:rFonts w:ascii="Times New Roman" w:hAnsi="Times New Roman" w:eastAsia="PingFang SC"/>
          <w:b/>
          <w:i w:val="0"/>
          <w:sz w:val="21"/>
        </w:rPr>
        <w:t>执行对应：</w:t>
      </w:r>
      <w:r>
        <w:rPr>
          <w:rFonts w:ascii="Times New Roman" w:hAnsi="Times New Roman" w:eastAsia="PingFang SC"/>
          <w:b w:val="0"/>
          <w:i w:val="0"/>
          <w:sz w:val="21"/>
        </w:rPr>
        <w:t xml:space="preserve"> E01→F06–F11；E02–E04→F12–F25/F30；E05–E07→F26–F31；E08→F32–F34；E09–E10→F35–F37；E11→F38–F42；E12→F21–F23。完整操作仍以 </w:t>
      </w:r>
      <w:r>
        <w:rPr>
          <w:rFonts w:ascii="Times New Roman" w:hAnsi="Times New Roman" w:eastAsia="PingFang SC"/>
          <w:b w:val="0"/>
          <w:i w:val="0"/>
          <w:sz w:val="21"/>
        </w:rPr>
        <w:t>执行计划</w:t>
      </w:r>
      <w:r>
        <w:rPr>
          <w:rFonts w:ascii="Times New Roman" w:hAnsi="Times New Roman" w:eastAsia="PingFang SC"/>
          <w:b w:val="0"/>
          <w:i w:val="0"/>
          <w:sz w:val="21"/>
        </w:rPr>
        <w:t xml:space="preserve"> 和 </w:t>
      </w:r>
      <w:r>
        <w:rPr>
          <w:rFonts w:ascii="Times New Roman" w:hAnsi="Times New Roman" w:eastAsia="PingFang SC"/>
          <w:b w:val="0"/>
          <w:i w:val="0"/>
          <w:sz w:val="21"/>
        </w:rPr>
        <w:t>协议合同</w:t>
      </w:r>
      <w:r>
        <w:rPr>
          <w:rFonts w:ascii="Times New Roman" w:hAnsi="Times New Roman" w:eastAsia="PingFang SC"/>
          <w:b w:val="0"/>
          <w:i w:val="0"/>
          <w:sz w:val="21"/>
        </w:rPr>
        <w:t xml:space="preserve"> 为准。</w:t>
      </w:r>
    </w:p>
    <w:p>
      <w:r>
        <w:br w:type="page"/>
      </w:r>
    </w:p>
    <w:p>
      <w:pPr>
        <w:pStyle w:val="Heading1"/>
      </w:pPr>
      <w:r>
        <w:t>参考与核验范围</w:t>
      </w:r>
    </w:p>
    <w:p>
      <w:r>
        <w:rPr>
          <w:rFonts w:ascii="Times New Roman" w:hAnsi="Times New Roman" w:eastAsia="PingFang SC"/>
          <w:b/>
          <w:i w:val="0"/>
          <w:sz w:val="21"/>
        </w:rPr>
        <w:t>核验日期：2026-10-16。</w:t>
      </w:r>
      <w:r>
        <w:rPr>
          <w:rFonts w:ascii="Times New Roman" w:hAnsi="Times New Roman" w:eastAsia="PingFang SC"/>
          <w:b w:val="0"/>
          <w:i w:val="0"/>
          <w:sz w:val="21"/>
        </w:rPr>
        <w:t xml:space="preserve"> 选取与本轮问题最直接相关的研究，不声称穷尽最新文献；“书目/摘要已核”不等于全文方法和实验已复现。</w:t>
      </w:r>
    </w:p>
    <w:p>
      <w:r>
        <w:rPr>
          <w:rFonts w:ascii="Times New Roman" w:hAnsi="Times New Roman" w:eastAsia="PingFang SC"/>
          <w:b w:val="0"/>
          <w:i w:val="0"/>
          <w:sz w:val="21"/>
        </w:rPr>
        <w:t xml:space="preserve">1. </w:t>
      </w:r>
      <w:r>
        <w:rPr>
          <w:rFonts w:ascii="Times New Roman" w:hAnsi="Times New Roman" w:eastAsia="PingFang SC"/>
          <w:b/>
          <w:i w:val="0"/>
          <w:sz w:val="21"/>
        </w:rPr>
        <w:t>Liu, Y.; Xiong, Q.; Leng, L.; Kim, C.; Miao, J.; Wang, L.</w:t>
      </w:r>
      <w:r>
        <w:rPr>
          <w:rFonts w:ascii="Times New Roman" w:hAnsi="Times New Roman" w:eastAsia="PingFang SC"/>
          <w:b w:val="0"/>
          <w:i w:val="0"/>
          <w:sz w:val="21"/>
        </w:rPr>
        <w:t xml:space="preserve"> *Color Adversarial Patch Generation for Physical-Domain Palmprint Recognition Attacks*. </w:t>
      </w:r>
      <w:r>
        <w:rPr>
          <w:rFonts w:ascii="Times New Roman" w:hAnsi="Times New Roman" w:eastAsia="PingFang SC"/>
          <w:b/>
          <w:i w:val="0"/>
          <w:sz w:val="21"/>
        </w:rPr>
        <w:t>Electronics</w:t>
      </w:r>
      <w:r>
        <w:rPr>
          <w:rFonts w:ascii="Times New Roman" w:hAnsi="Times New Roman" w:eastAsia="PingFang SC"/>
          <w:b w:val="0"/>
          <w:i w:val="0"/>
          <w:sz w:val="21"/>
        </w:rPr>
        <w:t xml:space="preserve">, 2026, </w:t>
      </w:r>
      <w:r>
        <w:rPr>
          <w:rFonts w:ascii="Times New Roman" w:hAnsi="Times New Roman" w:eastAsia="PingFang SC"/>
          <w:b/>
          <w:i w:val="0"/>
          <w:sz w:val="21"/>
        </w:rPr>
        <w:t>15(16), 3759</w:t>
      </w:r>
      <w:r>
        <w:rPr>
          <w:rFonts w:ascii="Times New Roman" w:hAnsi="Times New Roman" w:eastAsia="PingFang SC"/>
          <w:b w:val="0"/>
          <w:i w:val="0"/>
          <w:sz w:val="21"/>
        </w:rPr>
        <w:t xml:space="preserve">，2026-08-21。 </w:t>
      </w:r>
      <w:r>
        <w:rPr>
          <w:rFonts w:ascii="Times New Roman" w:hAnsi="Times New Roman" w:eastAsia="PingFang SC"/>
          <w:b w:val="0"/>
          <w:i w:val="0"/>
          <w:sz w:val="21"/>
        </w:rPr>
        <w:t>DOI</w:t>
      </w:r>
      <w:r>
        <w:rPr>
          <w:rFonts w:ascii="Times New Roman" w:hAnsi="Times New Roman" w:eastAsia="PingFang SC"/>
          <w:b w:val="0"/>
          <w:i w:val="0"/>
          <w:sz w:val="21"/>
        </w:rPr>
        <w:t xml:space="preserve"> · </w:t>
      </w:r>
      <w:r>
        <w:rPr>
          <w:rFonts w:ascii="Times New Roman" w:hAnsi="Times New Roman" w:eastAsia="PingFang SC"/>
          <w:b w:val="0"/>
          <w:i w:val="0"/>
          <w:sz w:val="21"/>
        </w:rPr>
        <w:t>出版元数据与摘要</w:t>
      </w:r>
      <w:r>
        <w:rPr>
          <w:rFonts w:ascii="Times New Roman" w:hAnsi="Times New Roman" w:eastAsia="PingFang SC"/>
          <w:b w:val="0"/>
          <w:i w:val="0"/>
          <w:sz w:val="21"/>
        </w:rPr>
        <w:t>。</w:t>
      </w:r>
      <w:r>
        <w:rPr>
          <w:rFonts w:ascii="Times New Roman" w:hAnsi="Times New Roman" w:eastAsia="PingFang SC"/>
          <w:b/>
          <w:i w:val="0"/>
          <w:sz w:val="21"/>
        </w:rPr>
        <w:t>本次新增核实；全文待核。</w:t>
      </w:r>
    </w:p>
    <w:p>
      <w:r>
        <w:rPr>
          <w:rFonts w:ascii="Times New Roman" w:hAnsi="Times New Roman" w:eastAsia="PingFang SC"/>
          <w:b w:val="0"/>
          <w:i w:val="0"/>
          <w:sz w:val="21"/>
        </w:rPr>
        <w:t xml:space="preserve">2. </w:t>
      </w:r>
      <w:r>
        <w:rPr>
          <w:rFonts w:ascii="Times New Roman" w:hAnsi="Times New Roman" w:eastAsia="PingFang SC"/>
          <w:b/>
          <w:i w:val="0"/>
          <w:sz w:val="21"/>
        </w:rPr>
        <w:t>Ran, Y. 等。</w:t>
      </w:r>
      <w:r>
        <w:rPr>
          <w:rFonts w:ascii="Times New Roman" w:hAnsi="Times New Roman" w:eastAsia="PingFang SC"/>
          <w:b w:val="0"/>
          <w:i w:val="0"/>
          <w:sz w:val="21"/>
        </w:rPr>
        <w:t xml:space="preserve"> *Cross-Shaped Adversarial Patch Attack*. </w:t>
      </w:r>
      <w:r>
        <w:rPr>
          <w:rFonts w:ascii="Times New Roman" w:hAnsi="Times New Roman" w:eastAsia="PingFang SC"/>
          <w:b/>
          <w:i w:val="0"/>
          <w:sz w:val="21"/>
        </w:rPr>
        <w:t>IEEE TCSVT</w:t>
      </w:r>
      <w:r>
        <w:rPr>
          <w:rFonts w:ascii="Times New Roman" w:hAnsi="Times New Roman" w:eastAsia="PingFang SC"/>
          <w:b w:val="0"/>
          <w:i w:val="0"/>
          <w:sz w:val="21"/>
        </w:rPr>
        <w:t xml:space="preserve">, 2024, </w:t>
      </w:r>
      <w:r>
        <w:rPr>
          <w:rFonts w:ascii="Times New Roman" w:hAnsi="Times New Roman" w:eastAsia="PingFang SC"/>
          <w:b/>
          <w:i w:val="0"/>
          <w:sz w:val="21"/>
        </w:rPr>
        <w:t>34(4):2289–2303</w:t>
      </w:r>
      <w:r>
        <w:rPr>
          <w:rFonts w:ascii="Times New Roman" w:hAnsi="Times New Roman" w:eastAsia="PingFang SC"/>
          <w:b w:val="0"/>
          <w:i w:val="0"/>
          <w:sz w:val="21"/>
        </w:rPr>
        <w:t xml:space="preserve">。 </w:t>
      </w:r>
      <w:r>
        <w:rPr>
          <w:rFonts w:ascii="Times New Roman" w:hAnsi="Times New Roman" w:eastAsia="PingFang SC"/>
          <w:b w:val="0"/>
          <w:i w:val="0"/>
          <w:sz w:val="21"/>
        </w:rPr>
        <w:t>DOI</w:t>
      </w:r>
      <w:r>
        <w:rPr>
          <w:rFonts w:ascii="Times New Roman" w:hAnsi="Times New Roman" w:eastAsia="PingFang SC"/>
          <w:b w:val="0"/>
          <w:i w:val="0"/>
          <w:sz w:val="21"/>
        </w:rPr>
        <w:t>。书目已核；十字归属亦由审稿信明确指出。</w:t>
      </w:r>
    </w:p>
    <w:p>
      <w:r>
        <w:rPr>
          <w:rFonts w:ascii="Times New Roman" w:hAnsi="Times New Roman" w:eastAsia="PingFang SC"/>
          <w:b w:val="0"/>
          <w:i w:val="0"/>
          <w:sz w:val="21"/>
        </w:rPr>
        <w:t xml:space="preserve">3. </w:t>
      </w:r>
      <w:r>
        <w:rPr>
          <w:rFonts w:ascii="Times New Roman" w:hAnsi="Times New Roman" w:eastAsia="PingFang SC"/>
          <w:b/>
          <w:i w:val="0"/>
          <w:sz w:val="21"/>
        </w:rPr>
        <w:t>Jin, J. 等。</w:t>
      </w:r>
      <w:r>
        <w:rPr>
          <w:rFonts w:ascii="Times New Roman" w:hAnsi="Times New Roman" w:eastAsia="PingFang SC"/>
          <w:b w:val="0"/>
          <w:i w:val="0"/>
          <w:sz w:val="21"/>
        </w:rPr>
        <w:t xml:space="preserve"> *Unified Adversarial Augmentation for Improving Palmprint Recognition*. </w:t>
      </w:r>
      <w:r>
        <w:rPr>
          <w:rFonts w:ascii="Times New Roman" w:hAnsi="Times New Roman" w:eastAsia="PingFang SC"/>
          <w:b/>
          <w:i w:val="0"/>
          <w:sz w:val="21"/>
        </w:rPr>
        <w:t>ICCV 2025</w:t>
      </w:r>
      <w:r>
        <w:rPr>
          <w:rFonts w:ascii="Times New Roman" w:hAnsi="Times New Roman" w:eastAsia="PingFang SC"/>
          <w:b w:val="0"/>
          <w:i w:val="0"/>
          <w:sz w:val="21"/>
        </w:rPr>
        <w:t xml:space="preserve">, pp. </w:t>
      </w:r>
      <w:r>
        <w:rPr>
          <w:rFonts w:ascii="Times New Roman" w:hAnsi="Times New Roman" w:eastAsia="PingFang SC"/>
          <w:b/>
          <w:i w:val="0"/>
          <w:sz w:val="21"/>
        </w:rPr>
        <w:t>14141–14151</w:t>
      </w:r>
      <w:r>
        <w:rPr>
          <w:rFonts w:ascii="Times New Roman" w:hAnsi="Times New Roman" w:eastAsia="PingFang SC"/>
          <w:b w:val="0"/>
          <w:i w:val="0"/>
          <w:sz w:val="21"/>
        </w:rPr>
        <w:t xml:space="preserve">。 </w:t>
      </w:r>
      <w:r>
        <w:rPr>
          <w:rFonts w:ascii="Times New Roman" w:hAnsi="Times New Roman" w:eastAsia="PingFang SC"/>
          <w:b w:val="0"/>
          <w:i w:val="0"/>
          <w:sz w:val="21"/>
        </w:rPr>
        <w:t>CVF 正式页面</w:t>
      </w:r>
      <w:r>
        <w:rPr>
          <w:rFonts w:ascii="Times New Roman" w:hAnsi="Times New Roman" w:eastAsia="PingFang SC"/>
          <w:b w:val="0"/>
          <w:i w:val="0"/>
          <w:sz w:val="21"/>
        </w:rPr>
        <w:t>。题名、出版信息与摘要已核。</w:t>
      </w:r>
    </w:p>
    <w:p>
      <w:r>
        <w:rPr>
          <w:rFonts w:ascii="Times New Roman" w:hAnsi="Times New Roman" w:eastAsia="PingFang SC"/>
          <w:b w:val="0"/>
          <w:i w:val="0"/>
          <w:sz w:val="21"/>
        </w:rPr>
        <w:t xml:space="preserve">4. </w:t>
      </w:r>
      <w:r>
        <w:rPr>
          <w:rFonts w:ascii="Times New Roman" w:hAnsi="Times New Roman" w:eastAsia="PingFang SC"/>
          <w:b/>
          <w:i w:val="0"/>
          <w:sz w:val="21"/>
        </w:rPr>
        <w:t>Jin, J. 等。</w:t>
      </w:r>
      <w:r>
        <w:rPr>
          <w:rFonts w:ascii="Times New Roman" w:hAnsi="Times New Roman" w:eastAsia="PingFang SC"/>
          <w:b w:val="0"/>
          <w:i w:val="0"/>
          <w:sz w:val="21"/>
        </w:rPr>
        <w:t xml:space="preserve"> *Diff-Palm: Realistic Palmprint Generation with Polynomial Creases and Intra-Class Variation Controllable Diffusion Models*. </w:t>
      </w:r>
      <w:r>
        <w:rPr>
          <w:rFonts w:ascii="Times New Roman" w:hAnsi="Times New Roman" w:eastAsia="PingFang SC"/>
          <w:b/>
          <w:i w:val="0"/>
          <w:sz w:val="21"/>
        </w:rPr>
        <w:t>CVPR 2025</w:t>
      </w:r>
      <w:r>
        <w:rPr>
          <w:rFonts w:ascii="Times New Roman" w:hAnsi="Times New Roman" w:eastAsia="PingFang SC"/>
          <w:b w:val="0"/>
          <w:i w:val="0"/>
          <w:sz w:val="21"/>
        </w:rPr>
        <w:t xml:space="preserve">, pp. </w:t>
      </w:r>
      <w:r>
        <w:rPr>
          <w:rFonts w:ascii="Times New Roman" w:hAnsi="Times New Roman" w:eastAsia="PingFang SC"/>
          <w:b/>
          <w:i w:val="0"/>
          <w:sz w:val="21"/>
        </w:rPr>
        <w:t>26367–26376</w:t>
      </w:r>
      <w:r>
        <w:rPr>
          <w:rFonts w:ascii="Times New Roman" w:hAnsi="Times New Roman" w:eastAsia="PingFang SC"/>
          <w:b w:val="0"/>
          <w:i w:val="0"/>
          <w:sz w:val="21"/>
        </w:rPr>
        <w:t xml:space="preserve">。 </w:t>
      </w:r>
      <w:r>
        <w:rPr>
          <w:rFonts w:ascii="Times New Roman" w:hAnsi="Times New Roman" w:eastAsia="PingFang SC"/>
          <w:b w:val="0"/>
          <w:i w:val="0"/>
          <w:sz w:val="21"/>
        </w:rPr>
        <w:t>CVF 正式页面</w:t>
      </w:r>
      <w:r>
        <w:rPr>
          <w:rFonts w:ascii="Times New Roman" w:hAnsi="Times New Roman" w:eastAsia="PingFang SC"/>
          <w:b w:val="0"/>
          <w:i w:val="0"/>
          <w:sz w:val="21"/>
        </w:rPr>
        <w:t>。题名、出版信息与摘要已核。</w:t>
      </w:r>
    </w:p>
    <w:p>
      <w:r>
        <w:rPr>
          <w:rFonts w:ascii="Times New Roman" w:hAnsi="Times New Roman" w:eastAsia="PingFang SC"/>
          <w:b w:val="0"/>
          <w:i w:val="0"/>
          <w:sz w:val="21"/>
        </w:rPr>
        <w:t xml:space="preserve">5. </w:t>
      </w:r>
      <w:r>
        <w:rPr>
          <w:rFonts w:ascii="Times New Roman" w:hAnsi="Times New Roman" w:eastAsia="PingFang SC"/>
          <w:b/>
          <w:i w:val="0"/>
          <w:sz w:val="21"/>
        </w:rPr>
        <w:t>Su, L.; Fei, L.; Zhang, B.; Zhao, S.; Wen, J.; Xu, Y.</w:t>
      </w:r>
      <w:r>
        <w:rPr>
          <w:rFonts w:ascii="Times New Roman" w:hAnsi="Times New Roman" w:eastAsia="PingFang SC"/>
          <w:b w:val="0"/>
          <w:i w:val="0"/>
          <w:sz w:val="21"/>
        </w:rPr>
        <w:t xml:space="preserve"> *Complete Region of Interest for Unconstrained Palmprint Recognition*. </w:t>
      </w:r>
      <w:r>
        <w:rPr>
          <w:rFonts w:ascii="Times New Roman" w:hAnsi="Times New Roman" w:eastAsia="PingFang SC"/>
          <w:b/>
          <w:i w:val="0"/>
          <w:sz w:val="21"/>
        </w:rPr>
        <w:t>IEEE TIP</w:t>
      </w:r>
      <w:r>
        <w:rPr>
          <w:rFonts w:ascii="Times New Roman" w:hAnsi="Times New Roman" w:eastAsia="PingFang SC"/>
          <w:b w:val="0"/>
          <w:i w:val="0"/>
          <w:sz w:val="21"/>
        </w:rPr>
        <w:t xml:space="preserve">, 2024, </w:t>
      </w:r>
      <w:r>
        <w:rPr>
          <w:rFonts w:ascii="Times New Roman" w:hAnsi="Times New Roman" w:eastAsia="PingFang SC"/>
          <w:b/>
          <w:i w:val="0"/>
          <w:sz w:val="21"/>
        </w:rPr>
        <w:t>33:3662–3675</w:t>
      </w:r>
      <w:r>
        <w:rPr>
          <w:rFonts w:ascii="Times New Roman" w:hAnsi="Times New Roman" w:eastAsia="PingFang SC"/>
          <w:b w:val="0"/>
          <w:i w:val="0"/>
          <w:sz w:val="21"/>
        </w:rPr>
        <w:t xml:space="preserve">。 </w:t>
      </w:r>
      <w:r>
        <w:rPr>
          <w:rFonts w:ascii="Times New Roman" w:hAnsi="Times New Roman" w:eastAsia="PingFang SC"/>
          <w:b w:val="0"/>
          <w:i w:val="0"/>
          <w:sz w:val="21"/>
        </w:rPr>
        <w:t>DOI</w:t>
      </w:r>
      <w:r>
        <w:rPr>
          <w:rFonts w:ascii="Times New Roman" w:hAnsi="Times New Roman" w:eastAsia="PingFang SC"/>
          <w:b w:val="0"/>
          <w:i w:val="0"/>
          <w:sz w:val="21"/>
        </w:rPr>
        <w:t>。本次核对书目，不对全文算法作额外推断。</w:t>
      </w:r>
    </w:p>
    <w:p>
      <w:r>
        <w:rPr>
          <w:rFonts w:ascii="Times New Roman" w:hAnsi="Times New Roman" w:eastAsia="PingFang SC"/>
          <w:b w:val="0"/>
          <w:i w:val="0"/>
          <w:sz w:val="21"/>
        </w:rPr>
        <w:t xml:space="preserve">6. </w:t>
      </w:r>
      <w:r>
        <w:rPr>
          <w:rFonts w:ascii="Times New Roman" w:hAnsi="Times New Roman" w:eastAsia="PingFang SC"/>
          <w:b/>
          <w:i w:val="0"/>
          <w:sz w:val="21"/>
        </w:rPr>
        <w:t>Yang, Z. 等。</w:t>
      </w:r>
      <w:r>
        <w:rPr>
          <w:rFonts w:ascii="Times New Roman" w:hAnsi="Times New Roman" w:eastAsia="PingFang SC"/>
          <w:b w:val="0"/>
          <w:i w:val="0"/>
          <w:sz w:val="21"/>
        </w:rPr>
        <w:t xml:space="preserve"> *FedPalm: A General Federated Learning Framework for Closed- and Open-Set Palmprint Verification*. </w:t>
      </w:r>
      <w:r>
        <w:rPr>
          <w:rFonts w:ascii="Times New Roman" w:hAnsi="Times New Roman" w:eastAsia="PingFang SC"/>
          <w:b/>
          <w:i w:val="0"/>
          <w:sz w:val="21"/>
        </w:rPr>
        <w:t>IEEE TIFS</w:t>
      </w:r>
      <w:r>
        <w:rPr>
          <w:rFonts w:ascii="Times New Roman" w:hAnsi="Times New Roman" w:eastAsia="PingFang SC"/>
          <w:b w:val="0"/>
          <w:i w:val="0"/>
          <w:sz w:val="21"/>
        </w:rPr>
        <w:t xml:space="preserve">, 2026, </w:t>
      </w:r>
      <w:r>
        <w:rPr>
          <w:rFonts w:ascii="Times New Roman" w:hAnsi="Times New Roman" w:eastAsia="PingFang SC"/>
          <w:b/>
          <w:i w:val="0"/>
          <w:sz w:val="21"/>
        </w:rPr>
        <w:t>21:3093–3107</w:t>
      </w:r>
      <w:r>
        <w:rPr>
          <w:rFonts w:ascii="Times New Roman" w:hAnsi="Times New Roman" w:eastAsia="PingFang SC"/>
          <w:b w:val="0"/>
          <w:i w:val="0"/>
          <w:sz w:val="21"/>
        </w:rPr>
        <w:t xml:space="preserve">。 </w:t>
      </w:r>
      <w:r>
        <w:rPr>
          <w:rFonts w:ascii="Times New Roman" w:hAnsi="Times New Roman" w:eastAsia="PingFang SC"/>
          <w:b w:val="0"/>
          <w:i w:val="0"/>
          <w:sz w:val="21"/>
        </w:rPr>
        <w:t>DOI</w:t>
      </w:r>
      <w:r>
        <w:rPr>
          <w:rFonts w:ascii="Times New Roman" w:hAnsi="Times New Roman" w:eastAsia="PingFang SC"/>
          <w:b w:val="0"/>
          <w:i w:val="0"/>
          <w:sz w:val="21"/>
        </w:rPr>
        <w:t>。本次核对书目，不照搬未经全文确认的划分。</w:t>
      </w:r>
    </w:p>
    <w:p>
      <w:r>
        <w:rPr>
          <w:rFonts w:ascii="Times New Roman" w:hAnsi="Times New Roman" w:eastAsia="PingFang SC"/>
          <w:b w:val="0"/>
          <w:i w:val="0"/>
          <w:sz w:val="21"/>
        </w:rPr>
        <w:t xml:space="preserve">7. </w:t>
      </w:r>
      <w:r>
        <w:rPr>
          <w:rFonts w:ascii="Times New Roman" w:hAnsi="Times New Roman" w:eastAsia="PingFang SC"/>
          <w:b/>
          <w:i w:val="0"/>
          <w:sz w:val="21"/>
        </w:rPr>
        <w:t>Zhang, C. 等。</w:t>
      </w:r>
      <w:r>
        <w:rPr>
          <w:rFonts w:ascii="Times New Roman" w:hAnsi="Times New Roman" w:eastAsia="PingFang SC"/>
          <w:b w:val="0"/>
          <w:i w:val="0"/>
          <w:sz w:val="21"/>
        </w:rPr>
        <w:t xml:space="preserve"> *PalmBridge: A Plug-and-Play Feature Alignment Framework for Open-Set Palmprint Verification*. </w:t>
      </w:r>
      <w:r>
        <w:rPr>
          <w:rFonts w:ascii="Times New Roman" w:hAnsi="Times New Roman" w:eastAsia="PingFang SC"/>
          <w:b/>
          <w:i w:val="0"/>
          <w:sz w:val="21"/>
        </w:rPr>
        <w:t>arXiv:2601.20351</w:t>
      </w:r>
      <w:r>
        <w:rPr>
          <w:rFonts w:ascii="Times New Roman" w:hAnsi="Times New Roman" w:eastAsia="PingFang SC"/>
          <w:b w:val="0"/>
          <w:i w:val="0"/>
          <w:sz w:val="21"/>
        </w:rPr>
        <w:t xml:space="preserve">, 2026-01-28 v1。 </w:t>
      </w:r>
      <w:r>
        <w:rPr>
          <w:rFonts w:ascii="Times New Roman" w:hAnsi="Times New Roman" w:eastAsia="PingFang SC"/>
          <w:b w:val="0"/>
          <w:i w:val="0"/>
          <w:sz w:val="21"/>
        </w:rPr>
        <w:t>原始页面</w:t>
      </w:r>
      <w:r>
        <w:rPr>
          <w:rFonts w:ascii="Times New Roman" w:hAnsi="Times New Roman" w:eastAsia="PingFang SC"/>
          <w:b w:val="0"/>
          <w:i w:val="0"/>
          <w:sz w:val="21"/>
        </w:rPr>
        <w:t>。预印本摘要已核，页面未列正式发表信息。</w:t>
      </w:r>
    </w:p>
    <w:p>
      <w:r>
        <w:rPr>
          <w:rFonts w:ascii="Times New Roman" w:hAnsi="Times New Roman" w:eastAsia="PingFang SC"/>
          <w:b w:val="0"/>
          <w:i w:val="0"/>
          <w:sz w:val="21"/>
        </w:rPr>
        <w:t xml:space="preserve">8. </w:t>
      </w:r>
      <w:r>
        <w:rPr>
          <w:rFonts w:ascii="Times New Roman" w:hAnsi="Times New Roman" w:eastAsia="PingFang SC"/>
          <w:b/>
          <w:i w:val="0"/>
          <w:sz w:val="21"/>
        </w:rPr>
        <w:t>Seyedmohammadi, J. 等。</w:t>
      </w:r>
      <w:r>
        <w:rPr>
          <w:rFonts w:ascii="Times New Roman" w:hAnsi="Times New Roman" w:eastAsia="PingFang SC"/>
          <w:b w:val="0"/>
          <w:i w:val="0"/>
          <w:sz w:val="21"/>
        </w:rPr>
        <w:t xml:space="preserve"> *X-Palm: Paired Multispectral-to-Smartphone Dataset for Cross-Domain Palmprint Authentication*. </w:t>
      </w:r>
      <w:r>
        <w:rPr>
          <w:rFonts w:ascii="Times New Roman" w:hAnsi="Times New Roman" w:eastAsia="PingFang SC"/>
          <w:b/>
          <w:i w:val="0"/>
          <w:sz w:val="21"/>
        </w:rPr>
        <w:t>arXiv:2606.08437</w:t>
      </w:r>
      <w:r>
        <w:rPr>
          <w:rFonts w:ascii="Times New Roman" w:hAnsi="Times New Roman" w:eastAsia="PingFang SC"/>
          <w:b w:val="0"/>
          <w:i w:val="0"/>
          <w:sz w:val="21"/>
        </w:rPr>
        <w:t xml:space="preserve">，2026-06-22 v2。 </w:t>
      </w:r>
      <w:r>
        <w:rPr>
          <w:rFonts w:ascii="Times New Roman" w:hAnsi="Times New Roman" w:eastAsia="PingFang SC"/>
          <w:b w:val="0"/>
          <w:i w:val="0"/>
          <w:sz w:val="21"/>
        </w:rPr>
        <w:t>原始页面</w:t>
      </w:r>
      <w:r>
        <w:rPr>
          <w:rFonts w:ascii="Times New Roman" w:hAnsi="Times New Roman" w:eastAsia="PingFang SC"/>
          <w:b w:val="0"/>
          <w:i w:val="0"/>
          <w:sz w:val="21"/>
        </w:rPr>
        <w:t>。预印本摘要确认 103 人、206 掌、6,006 图；不据此量化本项目跨域风险。</w:t>
      </w:r>
    </w:p>
    <w:p>
      <w:r>
        <w:rPr>
          <w:rFonts w:ascii="Times New Roman" w:hAnsi="Times New Roman" w:eastAsia="PingFang SC"/>
          <w:b w:val="0"/>
          <w:i w:val="0"/>
          <w:sz w:val="21"/>
        </w:rPr>
        <w:t xml:space="preserve">9. </w:t>
      </w:r>
      <w:r>
        <w:rPr>
          <w:rFonts w:ascii="Times New Roman" w:hAnsi="Times New Roman" w:eastAsia="PingFang SC"/>
          <w:b/>
          <w:i w:val="0"/>
          <w:sz w:val="21"/>
        </w:rPr>
        <w:t>Lyu, X. 等。</w:t>
      </w:r>
      <w:r>
        <w:rPr>
          <w:rFonts w:ascii="Times New Roman" w:hAnsi="Times New Roman" w:eastAsia="PingFang SC"/>
          <w:b w:val="0"/>
          <w:i w:val="0"/>
          <w:sz w:val="21"/>
        </w:rPr>
        <w:t xml:space="preserve"> *CertMask: Certifiable Defense Against Adversarial Patches via Theoretically Optimal Mask Coverage*. </w:t>
      </w:r>
      <w:r>
        <w:rPr>
          <w:rFonts w:ascii="Times New Roman" w:hAnsi="Times New Roman" w:eastAsia="PingFang SC"/>
          <w:b/>
          <w:i w:val="0"/>
          <w:sz w:val="21"/>
        </w:rPr>
        <w:t>AAAI 2026</w:t>
      </w:r>
      <w:r>
        <w:rPr>
          <w:rFonts w:ascii="Times New Roman" w:hAnsi="Times New Roman" w:eastAsia="PingFang SC"/>
          <w:b w:val="0"/>
          <w:i w:val="0"/>
          <w:sz w:val="21"/>
        </w:rPr>
        <w:t xml:space="preserve">, </w:t>
      </w:r>
      <w:r>
        <w:rPr>
          <w:rFonts w:ascii="Times New Roman" w:hAnsi="Times New Roman" w:eastAsia="PingFang SC"/>
          <w:b/>
          <w:i w:val="0"/>
          <w:sz w:val="21"/>
        </w:rPr>
        <w:t>40(10):7735–7743</w:t>
      </w:r>
      <w:r>
        <w:rPr>
          <w:rFonts w:ascii="Times New Roman" w:hAnsi="Times New Roman" w:eastAsia="PingFang SC"/>
          <w:b w:val="0"/>
          <w:i w:val="0"/>
          <w:sz w:val="21"/>
        </w:rPr>
        <w:t xml:space="preserve">。 </w:t>
      </w:r>
      <w:r>
        <w:rPr>
          <w:rFonts w:ascii="Times New Roman" w:hAnsi="Times New Roman" w:eastAsia="PingFang SC"/>
          <w:b w:val="0"/>
          <w:i w:val="0"/>
          <w:sz w:val="21"/>
        </w:rPr>
        <w:t>正式页面</w:t>
      </w:r>
      <w:r>
        <w:rPr>
          <w:rFonts w:ascii="Times New Roman" w:hAnsi="Times New Roman" w:eastAsia="PingFang SC"/>
          <w:b w:val="0"/>
          <w:i w:val="0"/>
          <w:sz w:val="21"/>
        </w:rPr>
        <w:t xml:space="preserve"> · </w:t>
      </w:r>
      <w:r>
        <w:rPr>
          <w:rFonts w:ascii="Times New Roman" w:hAnsi="Times New Roman" w:eastAsia="PingFang SC"/>
          <w:b w:val="0"/>
          <w:i w:val="0"/>
          <w:sz w:val="21"/>
        </w:rPr>
        <w:t>DOI</w:t>
      </w:r>
      <w:r>
        <w:rPr>
          <w:rFonts w:ascii="Times New Roman" w:hAnsi="Times New Roman" w:eastAsia="PingFang SC"/>
          <w:b w:val="0"/>
          <w:i w:val="0"/>
          <w:sz w:val="21"/>
        </w:rPr>
        <w:t>。摘要已核，完整威胁集合与定理仍需全文核查。</w:t>
      </w:r>
    </w:p>
    <w:p>
      <w:r>
        <w:rPr>
          <w:rFonts w:ascii="Times New Roman" w:hAnsi="Times New Roman" w:eastAsia="PingFang SC"/>
          <w:b w:val="0"/>
          <w:i w:val="0"/>
          <w:sz w:val="21"/>
        </w:rPr>
        <w:t xml:space="preserve">10. </w:t>
      </w:r>
      <w:r>
        <w:rPr>
          <w:rFonts w:ascii="Times New Roman" w:hAnsi="Times New Roman" w:eastAsia="PingFang SC"/>
          <w:b/>
          <w:i w:val="0"/>
          <w:sz w:val="21"/>
        </w:rPr>
        <w:t>Xiang, C.; Mahloujifar, S.; Mittal, P.</w:t>
      </w:r>
      <w:r>
        <w:rPr>
          <w:rFonts w:ascii="Times New Roman" w:hAnsi="Times New Roman" w:eastAsia="PingFang SC"/>
          <w:b w:val="0"/>
          <w:i w:val="0"/>
          <w:sz w:val="21"/>
        </w:rPr>
        <w:t xml:space="preserve"> *PatchCleanser: Certifiably Robust Defense against Adversarial Patches for Any Image Classifier*. </w:t>
      </w:r>
      <w:r>
        <w:rPr>
          <w:rFonts w:ascii="Times New Roman" w:hAnsi="Times New Roman" w:eastAsia="PingFang SC"/>
          <w:b/>
          <w:i w:val="0"/>
          <w:sz w:val="21"/>
        </w:rPr>
        <w:t>USENIX Security 2022</w:t>
      </w:r>
      <w:r>
        <w:rPr>
          <w:rFonts w:ascii="Times New Roman" w:hAnsi="Times New Roman" w:eastAsia="PingFang SC"/>
          <w:b w:val="0"/>
          <w:i w:val="0"/>
          <w:sz w:val="21"/>
        </w:rPr>
        <w:t xml:space="preserve">。 </w:t>
      </w:r>
      <w:r>
        <w:rPr>
          <w:rFonts w:ascii="Times New Roman" w:hAnsi="Times New Roman" w:eastAsia="PingFang SC"/>
          <w:b w:val="0"/>
          <w:i w:val="0"/>
          <w:sz w:val="21"/>
        </w:rPr>
        <w:t>原始预印本页面</w:t>
      </w:r>
      <w:r>
        <w:rPr>
          <w:rFonts w:ascii="Times New Roman" w:hAnsi="Times New Roman" w:eastAsia="PingFang SC"/>
          <w:b w:val="0"/>
          <w:i w:val="0"/>
          <w:sz w:val="21"/>
        </w:rPr>
        <w:t>。方法背景沿用既有核验，正式适配前仍需定理与实现审计。</w:t>
      </w:r>
    </w:p>
    <w:p>
      <w:r>
        <w:rPr>
          <w:rFonts w:ascii="Times New Roman" w:hAnsi="Times New Roman" w:eastAsia="PingFang SC"/>
          <w:b/>
          <w:i w:val="0"/>
          <w:sz w:val="21"/>
        </w:rPr>
        <w:t>会议结论应落在“要检验什么、需要多少证据、哪些结论不能先写”，而不是预先承诺更高的 ASR 或论文一定接收。</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PingFang SC"/>
        <w:sz w:val="17"/>
      </w:rPr>
      <w:t xml:space="preserve">CAAP 大修讨论材料 · 第 </w:t>
    </w:r>
    <w:r>
      <w:rPr>
        <w:rFonts w:ascii="Times New Roman" w:hAnsi="Times New Roman" w:eastAsia="PingFang SC"/>
        <w:sz w:val="17"/>
      </w:rPr>
      <w:fldChar w:fldCharType="begin"/>
      <w:instrText xml:space="preserve"> PAGE </w:instrText>
      <w:fldChar w:fldCharType="end"/>
    </w:r>
    <w:r>
      <w:rPr>
        <w:rFonts w:ascii="Times New Roman" w:hAnsi="Times New Roman" w:eastAsia="PingFang SC"/>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PingFang SC"/>
      <w:b/>
      <w:bCs/>
      <w:color w:val="1F3B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PingFang SC"/>
      <w:b/>
      <w:bCs/>
      <w:color w:val="1F3B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PingFang SC"/>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Quote">
    <w:name w:val="EvidenceQuote"/>
    <w:pPr>
      <w:spacing w:before="80" w:after="120"/>
      <w:ind w:left="510"/>
    </w:pPr>
    <w:rPr>
      <w:rFonts w:ascii="Times New Roman" w:hAnsi="Times New Roman" w:eastAsia="PingFang SC"/>
      <w:i/>
      <w:sz w:val="20"/>
    </w:rPr>
  </w:style>
  <w:style w:type="paragraph" w:customStyle="1" w:styleId="EvidenceBullet">
    <w:name w:val="EvidenceBullet"/>
    <w:pPr>
      <w:spacing w:after="60"/>
      <w:ind w:left="454"/>
    </w:pPr>
    <w:rPr>
      <w:rFonts w:ascii="Times New Roman" w:hAnsi="Times New Roman" w:eastAsia="PingFang S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