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line="360" w:lineRule="auto"/>
        <w:jc w:val="center"/>
      </w:pPr>
      <w:r>
        <w:rPr>
          <w:rFonts w:ascii="Times New Roman" w:hAnsi="Times New Roman" w:eastAsia="黑体"/>
          <w:b/>
          <w:color w:val="000000"/>
          <w:sz w:val="36"/>
        </w:rPr>
        <w:t>微网与外部电网电力调控策略研究</w:t>
      </w:r>
    </w:p>
    <w:p>
      <w:pPr>
        <w:spacing w:after="200"/>
        <w:jc w:val="center"/>
      </w:pPr>
      <w:r>
        <w:rPr>
          <w:rFonts w:ascii="Times New Roman" w:hAnsi="Times New Roman" w:eastAsia="黑体"/>
          <w:b/>
          <w:color w:val="000000"/>
          <w:sz w:val="30"/>
        </w:rPr>
        <w:t>摘  要</w:t>
      </w:r>
    </w:p>
    <w:p>
      <w:pPr>
        <w:spacing w:line="360" w:lineRule="auto" w:after="80"/>
        <w:ind w:firstLine="420"/>
        <w:jc w:val="both"/>
      </w:pPr>
      <w:r>
        <w:rPr>
          <w:rFonts w:ascii="Times New Roman" w:hAnsi="Times New Roman" w:eastAsia="宋体"/>
          <w:b w:val="0"/>
          <w:color w:val="000000"/>
          <w:sz w:val="21"/>
        </w:rPr>
        <w:t>针对含光伏与储能的并网微网日内购电调控问题，本文以外部电网购电总费用最小为目标，建立统一的10分钟离散线性规划与滚动混合整数规划模型。首先辨析附件时间戳的物理含义：原始列名0:10至0:00+1为各10分钟区间的结束时刻，因此依次对应0:00-0:10至23:50-24:00；该校正消除了原结果模板整体晚一格以及跨日虚构0:00-0:10+1的问题。功率数据按1/6小时换算为电量，储能采用交流母线侧充放电量描述，状态方程同时计入90%的充、放电效率，并严格约束SOC为1200-10800 kWh、充放电功率不超过5000 kW及日首尾SOC一致。问题一采用确定性线性规划，得到全天购电量59482.699 kWh、购电费35126.949元，较无储能方案节省12925.098元，光伏弃电为0。问题二基于全年实际光伏实施日前计划，在供电不足时以实时电价5倍紧急购电；2025年2月1日至12月31日总购电量20187649.131 kWh、总费用12229460.726元，最优解中无需紧急购电。问题三在0、6、12、18点接收最新24小时整点预测并滚动重优化，通过0-1变量排除同一时段同时充放电，同时计入少购部分50%违约费、超购部分1.5倍电价和紧急购电费。滚动方案总物理购电量21683169.926 kWh、总费用16716726.782元；相对仅使用0点预测的基线，紧急购电减少287272.012 kWh、总费用降低3.920%。问题四用动态电价替换固定电价后，问题二和问题三费用分别为12782591.809元和17419346.464元。独立审计表明五个模型的最大功率平衡误差不超过3.30×10^-12 kWh，SOC动态误差不超过1.19×10^-11 kWh，所有容量、功率及首尾状态约束均满足。结果说明滚动更新预测能显著降低光伏预测偏差带来的高价应急成本，而动态电价会改变储能套利时序并提高对应情景的总费用。</w:t>
      </w:r>
    </w:p>
    <w:p>
      <w:pPr>
        <w:spacing w:before="160" w:line="360" w:lineRule="auto"/>
      </w:pPr>
      <w:r>
        <w:rPr>
          <w:rFonts w:ascii="Times New Roman" w:hAnsi="Times New Roman" w:eastAsia="黑体"/>
          <w:b/>
          <w:color w:val="000000"/>
          <w:sz w:val="21"/>
        </w:rPr>
        <w:t>关键词：</w:t>
      </w:r>
      <w:r>
        <w:rPr>
          <w:rFonts w:ascii="Times New Roman" w:hAnsi="Times New Roman" w:eastAsia="宋体"/>
          <w:b w:val="0"/>
          <w:color w:val="000000"/>
          <w:sz w:val="21"/>
        </w:rPr>
        <w:t>微网；线性规划；储能调度；滚动优化；动态电价；时间对齐</w:t>
      </w:r>
    </w:p>
    <w:p>
      <w:r>
        <w:br w:type="page"/>
      </w:r>
    </w:p>
    <w:p>
      <w:pPr>
        <w:pStyle w:val="Heading1"/>
        <w:keepNext/>
        <w:spacing w:before="200" w:after="100"/>
      </w:pPr>
      <w:r>
        <w:rPr>
          <w:rFonts w:ascii="Times New Roman" w:hAnsi="Times New Roman" w:eastAsia="黑体"/>
          <w:b/>
          <w:color w:val="000000"/>
          <w:sz w:val="30"/>
        </w:rPr>
        <w:t>1  问题重述</w:t>
      </w:r>
    </w:p>
    <w:p>
      <w:pPr>
        <w:pStyle w:val="Heading2"/>
        <w:keepNext/>
        <w:spacing w:before="120" w:after="100"/>
      </w:pPr>
      <w:r>
        <w:rPr>
          <w:rFonts w:ascii="Times New Roman" w:hAnsi="Times New Roman" w:eastAsia="黑体"/>
          <w:b/>
          <w:color w:val="000000"/>
          <w:sz w:val="25"/>
        </w:rPr>
        <w:t>1.1 问题背景</w:t>
      </w:r>
    </w:p>
    <w:p>
      <w:pPr>
        <w:spacing w:line="360" w:lineRule="auto" w:after="80"/>
        <w:ind w:firstLine="420"/>
        <w:jc w:val="both"/>
      </w:pPr>
      <w:r>
        <w:rPr>
          <w:rFonts w:ascii="Times New Roman" w:hAnsi="Times New Roman" w:eastAsia="宋体"/>
          <w:b w:val="0"/>
          <w:color w:val="000000"/>
          <w:sz w:val="21"/>
        </w:rPr>
        <w:t>微网通过光伏发电、储能和外部电网共同满足小区负载。光伏具有明显的昼夜波动和预测误差，外部电价又随时段变化，因此调度策略需要同时决定每个10分钟区间的外网购电量、光伏消纳量以及储能充放电量。合理调度应在保证负载供电的前提下，利用低价电和剩余光伏充电，在高价或光伏不足时放电，并控制预测偏差导致的违约、超购和紧急购电成本。</w:t>
      </w:r>
    </w:p>
    <w:p>
      <w:pPr>
        <w:spacing w:line="360" w:lineRule="auto" w:after="80"/>
        <w:ind w:firstLine="420"/>
        <w:jc w:val="both"/>
      </w:pPr>
      <w:r>
        <w:rPr>
          <w:rFonts w:ascii="Times New Roman" w:hAnsi="Times New Roman" w:eastAsia="宋体"/>
          <w:b w:val="0"/>
          <w:color w:val="000000"/>
          <w:sz w:val="21"/>
        </w:rPr>
        <w:t>题目给出某日静态电价、负载与光伏预测，以及2025年逐日负载、光伏实际功率、四个发布时刻的光伏预测和动态电价。需要在统一的储能物理约束下依次完成确定性日内调度、含紧急购电的年度计划、基于多时点预测的滚动调整和动态电价扩展，并将结果写入规定的五个Excel模板。</w:t>
      </w:r>
    </w:p>
    <w:p>
      <w:pPr>
        <w:pStyle w:val="Heading2"/>
        <w:keepNext/>
        <w:spacing w:before="120" w:after="100"/>
      </w:pPr>
      <w:r>
        <w:rPr>
          <w:rFonts w:ascii="Times New Roman" w:hAnsi="Times New Roman" w:eastAsia="黑体"/>
          <w:b/>
          <w:color w:val="000000"/>
          <w:sz w:val="25"/>
        </w:rPr>
        <w:t>1.2 问题一重述</w:t>
      </w:r>
    </w:p>
    <w:p>
      <w:pPr>
        <w:spacing w:line="360" w:lineRule="auto" w:after="80"/>
        <w:ind w:firstLine="420"/>
        <w:jc w:val="both"/>
      </w:pPr>
      <w:r>
        <w:rPr>
          <w:rFonts w:ascii="Times New Roman" w:hAnsi="Times New Roman" w:eastAsia="宋体"/>
          <w:b w:val="0"/>
          <w:color w:val="000000"/>
          <w:sz w:val="21"/>
        </w:rPr>
        <w:t>根据附件1的一日电价、负载和光伏预测，制定0:00时刻的144段计划购电策略。要求微网供能不低于负载，储能0:00与24:00的电量相同，并给出指定时段购电量、全天购电量与购电费，以及六个4小时区间的充放电量。</w:t>
      </w:r>
    </w:p>
    <w:p>
      <w:pPr>
        <w:pStyle w:val="Heading2"/>
        <w:keepNext/>
        <w:spacing w:before="120" w:after="100"/>
      </w:pPr>
      <w:r>
        <w:rPr>
          <w:rFonts w:ascii="Times New Roman" w:hAnsi="Times New Roman" w:eastAsia="黑体"/>
          <w:b/>
          <w:color w:val="000000"/>
          <w:sz w:val="25"/>
        </w:rPr>
        <w:t>1.3 问题二重述</w:t>
      </w:r>
    </w:p>
    <w:p>
      <w:pPr>
        <w:spacing w:line="360" w:lineRule="auto" w:after="80"/>
        <w:ind w:firstLine="420"/>
        <w:jc w:val="both"/>
      </w:pPr>
      <w:r>
        <w:rPr>
          <w:rFonts w:ascii="Times New Roman" w:hAnsi="Times New Roman" w:eastAsia="宋体"/>
          <w:b w:val="0"/>
          <w:color w:val="000000"/>
          <w:sz w:val="21"/>
        </w:rPr>
        <w:t>以附件2的逐日负载和光伏实际功率为运行场景，在每天0:00形成当天计划。若计划供能低于实际负载，则缺口由紧急购电补足，紧急购电价格为同时段电价的5倍。输出2025年2月1日至12月31日的完整计划、储能状态和紧急购电明细。</w:t>
      </w:r>
    </w:p>
    <w:p>
      <w:pPr>
        <w:pStyle w:val="Heading2"/>
        <w:keepNext/>
        <w:spacing w:before="120" w:after="100"/>
      </w:pPr>
      <w:r>
        <w:rPr>
          <w:rFonts w:ascii="Times New Roman" w:hAnsi="Times New Roman" w:eastAsia="黑体"/>
          <w:b/>
          <w:color w:val="000000"/>
          <w:sz w:val="25"/>
        </w:rPr>
        <w:t>1.4 问题三重述</w:t>
      </w:r>
    </w:p>
    <w:p>
      <w:pPr>
        <w:spacing w:line="360" w:lineRule="auto" w:after="80"/>
        <w:ind w:firstLine="420"/>
        <w:jc w:val="both"/>
      </w:pPr>
      <w:r>
        <w:rPr>
          <w:rFonts w:ascii="Times New Roman" w:hAnsi="Times New Roman" w:eastAsia="宋体"/>
          <w:b w:val="0"/>
          <w:color w:val="000000"/>
          <w:sz w:val="21"/>
        </w:rPr>
        <w:t>每天0:00、6:00、12:00和18:00获得未来24小时整点光伏功率预测。0:00预测用于形成基准计划，其余预测用于滚动调整尚未执行的购电与储能策略。少购部分支付交易电价50%的违约费，超购部分按交易电价1.5倍计费，并仍需承担紧急购电费用。</w:t>
      </w:r>
    </w:p>
    <w:p>
      <w:pPr>
        <w:pStyle w:val="Heading2"/>
        <w:keepNext/>
        <w:spacing w:before="120" w:after="100"/>
      </w:pPr>
      <w:r>
        <w:rPr>
          <w:rFonts w:ascii="Times New Roman" w:hAnsi="Times New Roman" w:eastAsia="黑体"/>
          <w:b/>
          <w:color w:val="000000"/>
          <w:sz w:val="25"/>
        </w:rPr>
        <w:t>1.5 问题四重述</w:t>
      </w:r>
    </w:p>
    <w:p>
      <w:pPr>
        <w:spacing w:line="360" w:lineRule="auto" w:after="80"/>
        <w:ind w:firstLine="420"/>
        <w:jc w:val="both"/>
      </w:pPr>
      <w:r>
        <w:rPr>
          <w:rFonts w:ascii="Times New Roman" w:hAnsi="Times New Roman" w:eastAsia="宋体"/>
          <w:b w:val="0"/>
          <w:color w:val="000000"/>
          <w:sz w:val="21"/>
        </w:rPr>
        <w:t>将附件1的固定时段电价替换为附件4的逐日动态电价，分别重新求解问题二和问题三，分析价格波动对总费用、购电量和储能运行时序的影响。</w:t>
      </w:r>
    </w:p>
    <w:p>
      <w:pPr>
        <w:pStyle w:val="Heading1"/>
        <w:keepNext/>
        <w:spacing w:before="200" w:after="100"/>
      </w:pPr>
      <w:r>
        <w:rPr>
          <w:rFonts w:ascii="Times New Roman" w:hAnsi="Times New Roman" w:eastAsia="黑体"/>
          <w:b/>
          <w:color w:val="000000"/>
          <w:sz w:val="30"/>
        </w:rPr>
        <w:t>2  问题分析与总体思路</w:t>
      </w:r>
    </w:p>
    <w:p>
      <w:pPr>
        <w:pStyle w:val="Heading2"/>
        <w:keepNext/>
        <w:spacing w:before="120" w:after="100"/>
      </w:pPr>
      <w:r>
        <w:rPr>
          <w:rFonts w:ascii="Times New Roman" w:hAnsi="Times New Roman" w:eastAsia="黑体"/>
          <w:b/>
          <w:color w:val="000000"/>
          <w:sz w:val="25"/>
        </w:rPr>
        <w:t>2.1 关键难点</w:t>
      </w:r>
    </w:p>
    <w:p>
      <w:pPr>
        <w:spacing w:line="360" w:lineRule="auto" w:after="80"/>
        <w:ind w:left="420" w:hanging="420"/>
        <w:jc w:val="both"/>
      </w:pPr>
      <w:r>
        <w:rPr>
          <w:rFonts w:ascii="Times New Roman" w:hAnsi="Times New Roman" w:eastAsia="宋体"/>
          <w:b w:val="0"/>
          <w:color w:val="000000"/>
          <w:sz w:val="21"/>
        </w:rPr>
        <w:t>（1）附件的144个时刻从0:10开始、以0:00+1结束，而结果模板原表头从0:10-0:20开始。若直接按模板解释，会把全部结果晚移10分钟，并产生跨到次日0:10的虚构区间。</w:t>
      </w:r>
    </w:p>
    <w:p>
      <w:pPr>
        <w:spacing w:line="360" w:lineRule="auto" w:after="80"/>
        <w:ind w:left="420" w:hanging="420"/>
        <w:jc w:val="both"/>
      </w:pPr>
      <w:r>
        <w:rPr>
          <w:rFonts w:ascii="Times New Roman" w:hAnsi="Times New Roman" w:eastAsia="宋体"/>
          <w:b w:val="0"/>
          <w:color w:val="000000"/>
          <w:sz w:val="21"/>
        </w:rPr>
        <w:t>（2）输入为kW，目标费用与储能容量使用kWh，必须乘以10/60小时完成单位换算；5000 kW功率上限也应转换为每格833.333 kWh。</w:t>
      </w:r>
    </w:p>
    <w:p>
      <w:pPr>
        <w:spacing w:line="360" w:lineRule="auto" w:after="80"/>
        <w:ind w:left="420" w:hanging="420"/>
        <w:jc w:val="both"/>
      </w:pPr>
      <w:r>
        <w:rPr>
          <w:rFonts w:ascii="Times New Roman" w:hAnsi="Times New Roman" w:eastAsia="宋体"/>
          <w:b w:val="0"/>
          <w:color w:val="000000"/>
          <w:sz w:val="21"/>
        </w:rPr>
        <w:t>（3）储能状态连接相邻时段，充放电效率使能量转移具有损耗；问题三还要冻结已执行时段，仅对未来区间滚动优化。</w:t>
      </w:r>
    </w:p>
    <w:p>
      <w:pPr>
        <w:spacing w:line="360" w:lineRule="auto" w:after="80"/>
        <w:ind w:left="420" w:hanging="420"/>
        <w:jc w:val="both"/>
      </w:pPr>
      <w:r>
        <w:rPr>
          <w:rFonts w:ascii="Times New Roman" w:hAnsi="Times New Roman" w:eastAsia="宋体"/>
          <w:b w:val="0"/>
          <w:color w:val="000000"/>
          <w:sz w:val="21"/>
        </w:rPr>
        <w:t>（4）计划、调整、紧急购电三类电量对应不同结算规则，若目标函数重复计费或漏计计划费用，会改变最优策略。</w:t>
      </w:r>
    </w:p>
    <w:p>
      <w:pPr>
        <w:pStyle w:val="Heading2"/>
        <w:keepNext/>
        <w:spacing w:before="120" w:after="100"/>
      </w:pPr>
      <w:r>
        <w:rPr>
          <w:rFonts w:ascii="Times New Roman" w:hAnsi="Times New Roman" w:eastAsia="黑体"/>
          <w:b/>
          <w:color w:val="000000"/>
          <w:sz w:val="25"/>
        </w:rPr>
        <w:t>2.2 总体技术路线</w:t>
      </w:r>
    </w:p>
    <w:p>
      <w:pPr>
        <w:spacing w:line="360" w:lineRule="auto" w:after="80"/>
        <w:ind w:firstLine="420"/>
        <w:jc w:val="both"/>
      </w:pPr>
      <w:r>
        <w:rPr>
          <w:rFonts w:ascii="Times New Roman" w:hAnsi="Times New Roman" w:eastAsia="宋体"/>
          <w:b w:val="0"/>
          <w:color w:val="000000"/>
          <w:sz w:val="21"/>
        </w:rPr>
        <w:t>本文先校验附件日期、矩阵形状、缺失值和非负性，再统一时间轴与单位；随后建立确定性线性规划作为问题一和问题二的基础模型；问题三在相同物理约束上加入滚动预测、偏差结算和充放电互斥的0-1约束；问题四仅替换电价矩阵。最后对功率平衡、SOC动态、上下界、首尾状态和结果工作簿逐项审计。</w:t>
      </w:r>
    </w:p>
    <w:p>
      <w:pPr>
        <w:spacing w:before="80" w:after="40"/>
        <w:jc w:val="center"/>
      </w:pPr>
      <w:r>
        <w:drawing>
          <wp:inline xmlns:a="http://schemas.openxmlformats.org/drawingml/2006/main" xmlns:pic="http://schemas.openxmlformats.org/drawingml/2006/picture">
            <wp:extent cx="5806440" cy="1560481"/>
            <wp:docPr id="1" name="Picture 1"/>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806440" cy="1560481"/>
                    </a:xfrm>
                    <a:prstGeom prst="rect"/>
                  </pic:spPr>
                </pic:pic>
              </a:graphicData>
            </a:graphic>
          </wp:inline>
        </w:drawing>
      </w:r>
    </w:p>
    <w:p>
      <w:pPr>
        <w:keepNext/>
        <w:spacing w:before="100" w:after="80"/>
        <w:jc w:val="center"/>
      </w:pPr>
      <w:r>
        <w:rPr>
          <w:rFonts w:ascii="Times New Roman" w:hAnsi="Times New Roman" w:eastAsia="宋体"/>
          <w:b/>
          <w:color w:val="000000"/>
          <w:sz w:val="21"/>
        </w:rPr>
        <w:t>图1  微网购电调控建模与求解流程</w:t>
      </w:r>
    </w:p>
    <w:p>
      <w:pPr>
        <w:pStyle w:val="Heading1"/>
        <w:keepNext/>
        <w:spacing w:before="200" w:after="100"/>
      </w:pPr>
      <w:r>
        <w:rPr>
          <w:rFonts w:ascii="Times New Roman" w:hAnsi="Times New Roman" w:eastAsia="黑体"/>
          <w:b/>
          <w:color w:val="000000"/>
          <w:sz w:val="30"/>
        </w:rPr>
        <w:t>3  模型假设与符号说明</w:t>
      </w:r>
    </w:p>
    <w:p>
      <w:pPr>
        <w:pStyle w:val="Heading2"/>
        <w:keepNext/>
        <w:spacing w:before="120" w:after="100"/>
      </w:pPr>
      <w:r>
        <w:rPr>
          <w:rFonts w:ascii="Times New Roman" w:hAnsi="Times New Roman" w:eastAsia="黑体"/>
          <w:b/>
          <w:color w:val="000000"/>
          <w:sz w:val="25"/>
        </w:rPr>
        <w:t>3.1 模型假设</w:t>
      </w:r>
    </w:p>
    <w:p>
      <w:pPr>
        <w:spacing w:line="360" w:lineRule="auto" w:after="80"/>
        <w:ind w:left="420" w:hanging="420"/>
        <w:jc w:val="both"/>
      </w:pPr>
      <w:r>
        <w:rPr>
          <w:rFonts w:ascii="Times New Roman" w:hAnsi="Times New Roman" w:eastAsia="宋体"/>
          <w:b w:val="0"/>
          <w:color w:val="000000"/>
          <w:sz w:val="21"/>
        </w:rPr>
        <w:t>（1）每个10分钟区间内的负载、光伏功率和电价视为常值，功率数据代表该区间的平均功率。</w:t>
      </w:r>
    </w:p>
    <w:p>
      <w:pPr>
        <w:spacing w:line="360" w:lineRule="auto" w:after="80"/>
        <w:ind w:left="420" w:hanging="420"/>
        <w:jc w:val="both"/>
      </w:pPr>
      <w:r>
        <w:rPr>
          <w:rFonts w:ascii="Times New Roman" w:hAnsi="Times New Roman" w:eastAsia="宋体"/>
          <w:b w:val="0"/>
          <w:color w:val="000000"/>
          <w:sz w:val="21"/>
        </w:rPr>
        <w:t>（2）附件中0:10至0:00+1是区间结束时刻，依次代表当天0:00-0:10至23:50-24:00。</w:t>
      </w:r>
    </w:p>
    <w:p>
      <w:pPr>
        <w:spacing w:line="360" w:lineRule="auto" w:after="80"/>
        <w:ind w:left="420" w:hanging="420"/>
        <w:jc w:val="both"/>
      </w:pPr>
      <w:r>
        <w:rPr>
          <w:rFonts w:ascii="Times New Roman" w:hAnsi="Times New Roman" w:eastAsia="宋体"/>
          <w:b w:val="0"/>
          <w:color w:val="000000"/>
          <w:sz w:val="21"/>
        </w:rPr>
        <w:t>（3）微网不向外部电网反向售电，光伏可弃光但不允许超过该时段可用光伏电量。</w:t>
      </w:r>
    </w:p>
    <w:p>
      <w:pPr>
        <w:spacing w:line="360" w:lineRule="auto" w:after="80"/>
        <w:ind w:left="420" w:hanging="420"/>
        <w:jc w:val="both"/>
      </w:pPr>
      <w:r>
        <w:rPr>
          <w:rFonts w:ascii="Times New Roman" w:hAnsi="Times New Roman" w:eastAsia="宋体"/>
          <w:b w:val="0"/>
          <w:color w:val="000000"/>
          <w:sz w:val="21"/>
        </w:rPr>
        <w:t>（4）充电效率和放电效率均为90%，储能自放电和设备退化成本在单日尺度内忽略；用极小吞吐惩罚排除无经济意义的退化循环。</w:t>
      </w:r>
    </w:p>
    <w:p>
      <w:pPr>
        <w:spacing w:line="360" w:lineRule="auto" w:after="80"/>
        <w:ind w:left="420" w:hanging="420"/>
        <w:jc w:val="both"/>
      </w:pPr>
      <w:r>
        <w:rPr>
          <w:rFonts w:ascii="Times New Roman" w:hAnsi="Times New Roman" w:eastAsia="宋体"/>
          <w:b w:val="0"/>
          <w:color w:val="000000"/>
          <w:sz w:val="21"/>
        </w:rPr>
        <w:t>（5）问题二将附件2实际光伏视作已知历史场景进行确定性回算；问题三以附件3预测形成计划，并以实际光伏结算偏差。</w:t>
      </w:r>
    </w:p>
    <w:p>
      <w:pPr>
        <w:spacing w:line="360" w:lineRule="auto" w:after="80"/>
        <w:ind w:left="420" w:hanging="420"/>
        <w:jc w:val="both"/>
      </w:pPr>
      <w:r>
        <w:rPr>
          <w:rFonts w:ascii="Times New Roman" w:hAnsi="Times New Roman" w:eastAsia="宋体"/>
          <w:b w:val="0"/>
          <w:color w:val="000000"/>
          <w:sz w:val="21"/>
        </w:rPr>
        <w:t>（6）滚动方案中已经执行的时段不可修改，每次发布时刻只优化当前时刻至当日24:00的剩余区间。</w:t>
      </w:r>
    </w:p>
    <w:p>
      <w:pPr>
        <w:pStyle w:val="Heading2"/>
        <w:keepNext/>
        <w:spacing w:before="120" w:after="100"/>
      </w:pPr>
      <w:r>
        <w:rPr>
          <w:rFonts w:ascii="Times New Roman" w:hAnsi="Times New Roman" w:eastAsia="黑体"/>
          <w:b/>
          <w:color w:val="000000"/>
          <w:sz w:val="25"/>
        </w:rPr>
        <w:t>3.2 符号说明</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800"/>
            <w:shd w:fill="D9EAF7"/>
            <w:vAlign w:val="center"/>
          </w:tcPr>
          <w:p>
            <w:pPr>
              <w:keepNext/>
              <w:jc w:val="center"/>
            </w:pPr>
            <w:r>
              <w:rPr>
                <w:rFonts w:ascii="Times New Roman" w:hAnsi="Times New Roman" w:eastAsia="黑体"/>
                <w:b/>
                <w:color w:val="000000"/>
                <w:sz w:val="19"/>
              </w:rPr>
              <w:t>符号</w:t>
            </w:r>
          </w:p>
        </w:tc>
        <w:tc>
          <w:tcPr>
            <w:tcW w:type="dxa" w:w="5328"/>
            <w:shd w:fill="D9EAF7"/>
            <w:vAlign w:val="center"/>
          </w:tcPr>
          <w:p>
            <w:pPr>
              <w:keepNext/>
              <w:jc w:val="center"/>
            </w:pPr>
            <w:r>
              <w:rPr>
                <w:rFonts w:ascii="Times New Roman" w:hAnsi="Times New Roman" w:eastAsia="黑体"/>
                <w:b/>
                <w:color w:val="000000"/>
                <w:sz w:val="19"/>
              </w:rPr>
              <w:t>含义</w:t>
            </w:r>
          </w:p>
        </w:tc>
        <w:tc>
          <w:tcPr>
            <w:tcW w:type="dxa" w:w="2232"/>
            <w:shd w:fill="D9EAF7"/>
            <w:vAlign w:val="center"/>
          </w:tcPr>
          <w:p>
            <w:pPr>
              <w:keepNext/>
              <w:jc w:val="center"/>
            </w:pPr>
            <w:r>
              <w:rPr>
                <w:rFonts w:ascii="Times New Roman" w:hAnsi="Times New Roman" w:eastAsia="黑体"/>
                <w:b/>
                <w:color w:val="000000"/>
                <w:sz w:val="19"/>
              </w:rPr>
              <w:t>单位或取值</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d, 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日期索引与10分钟区间索引</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d=1,…,365；t=0,…,143</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L(d,t)</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负载电量</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Vmax(d,t)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可用光伏电量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V(d,t)</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实际消纳光伏电量</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G(d,t)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计划或调整后的外网购电量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E(d,t)</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紧急购电量</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C(d,t), D(d,t)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储能充电量与放电量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S(d,t)</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区间起点储能电量</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π(d,t)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同时段交易电价</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元/kWh</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η</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单向充电与放电效率</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0.90</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G0(d,t)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0:00时制定的基准计划购电量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kWh</w:t>
            </w:r>
          </w:p>
        </w:tc>
      </w:tr>
    </w:tbl>
    <w:p>
      <w:pPr>
        <w:spacing w:after="40"/>
      </w:pPr>
    </w:p>
    <w:p>
      <w:pPr>
        <w:pStyle w:val="Heading1"/>
        <w:keepNext/>
        <w:spacing w:before="200" w:after="100"/>
      </w:pPr>
      <w:r>
        <w:rPr>
          <w:rFonts w:ascii="Times New Roman" w:hAnsi="Times New Roman" w:eastAsia="黑体"/>
          <w:b/>
          <w:color w:val="000000"/>
          <w:sz w:val="30"/>
        </w:rPr>
        <w:t>4  数据预处理与时间尺度统一</w:t>
      </w:r>
    </w:p>
    <w:p>
      <w:pPr>
        <w:pStyle w:val="Heading2"/>
        <w:keepNext/>
        <w:spacing w:before="120" w:after="100"/>
      </w:pPr>
      <w:r>
        <w:rPr>
          <w:rFonts w:ascii="Times New Roman" w:hAnsi="Times New Roman" w:eastAsia="黑体"/>
          <w:b/>
          <w:color w:val="000000"/>
          <w:sz w:val="25"/>
        </w:rPr>
        <w:t>4.1 数据结构与质量检查</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152"/>
            <w:shd w:fill="D9EAF7"/>
            <w:vAlign w:val="center"/>
          </w:tcPr>
          <w:p>
            <w:pPr>
              <w:keepNext/>
              <w:jc w:val="center"/>
            </w:pPr>
            <w:r>
              <w:rPr>
                <w:rFonts w:ascii="Times New Roman" w:hAnsi="Times New Roman" w:eastAsia="黑体"/>
                <w:b/>
                <w:color w:val="000000"/>
                <w:sz w:val="19"/>
              </w:rPr>
              <w:t>附件</w:t>
            </w:r>
          </w:p>
        </w:tc>
        <w:tc>
          <w:tcPr>
            <w:tcW w:type="dxa" w:w="3024"/>
            <w:shd w:fill="D9EAF7"/>
            <w:vAlign w:val="center"/>
          </w:tcPr>
          <w:p>
            <w:pPr>
              <w:keepNext/>
              <w:jc w:val="center"/>
            </w:pPr>
            <w:r>
              <w:rPr>
                <w:rFonts w:ascii="Times New Roman" w:hAnsi="Times New Roman" w:eastAsia="黑体"/>
                <w:b/>
                <w:color w:val="000000"/>
                <w:sz w:val="19"/>
              </w:rPr>
              <w:t>数据结构</w:t>
            </w:r>
          </w:p>
        </w:tc>
        <w:tc>
          <w:tcPr>
            <w:tcW w:type="dxa" w:w="2232"/>
            <w:shd w:fill="D9EAF7"/>
            <w:vAlign w:val="center"/>
          </w:tcPr>
          <w:p>
            <w:pPr>
              <w:keepNext/>
              <w:jc w:val="center"/>
            </w:pPr>
            <w:r>
              <w:rPr>
                <w:rFonts w:ascii="Times New Roman" w:hAnsi="Times New Roman" w:eastAsia="黑体"/>
                <w:b/>
                <w:color w:val="000000"/>
                <w:sz w:val="19"/>
              </w:rPr>
              <w:t>时间范围</w:t>
            </w:r>
          </w:p>
        </w:tc>
        <w:tc>
          <w:tcPr>
            <w:tcW w:type="dxa" w:w="1512"/>
            <w:shd w:fill="D9EAF7"/>
            <w:vAlign w:val="center"/>
          </w:tcPr>
          <w:p>
            <w:pPr>
              <w:keepNext/>
              <w:jc w:val="center"/>
            </w:pPr>
            <w:r>
              <w:rPr>
                <w:rFonts w:ascii="Times New Roman" w:hAnsi="Times New Roman" w:eastAsia="黑体"/>
                <w:b/>
                <w:color w:val="000000"/>
                <w:sz w:val="19"/>
              </w:rPr>
              <w:t>缺失或非法值</w:t>
            </w:r>
          </w:p>
        </w:tc>
        <w:tc>
          <w:tcPr>
            <w:tcW w:type="dxa" w:w="1440"/>
            <w:shd w:fill="D9EAF7"/>
            <w:vAlign w:val="center"/>
          </w:tcPr>
          <w:p>
            <w:pPr>
              <w:keepNext/>
              <w:jc w:val="center"/>
            </w:pPr>
            <w:r>
              <w:rPr>
                <w:rFonts w:ascii="Times New Roman" w:hAnsi="Times New Roman" w:eastAsia="黑体"/>
                <w:b/>
                <w:color w:val="000000"/>
                <w:sz w:val="19"/>
              </w:rPr>
              <w:t>用途</w:t>
            </w:r>
          </w:p>
        </w:tc>
      </w:tr>
      <w:tr>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9"/>
              </w:rPr>
              <w:t>附件1</w:t>
            </w:r>
          </w:p>
        </w:tc>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144×4</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某典型日</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问题一及固定电价</w:t>
            </w:r>
          </w:p>
        </w:tc>
      </w:tr>
      <w:tr>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附件2</w:t>
            </w:r>
          </w:p>
        </w:tc>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2张365×144功率矩阵</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2025.1.1-12.31</w:t>
            </w:r>
          </w:p>
        </w:tc>
        <w:tc>
          <w:tcPr>
            <w:tcW w:type="dxa" w:w="15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负载与实际光伏</w:t>
            </w:r>
          </w:p>
        </w:tc>
      </w:tr>
      <w:tr>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9"/>
              </w:rPr>
              <w:t>附件3</w:t>
            </w:r>
          </w:p>
        </w:tc>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365×4×24预测张量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每日0/6/12/18点</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滚动光伏预测</w:t>
            </w:r>
          </w:p>
        </w:tc>
      </w:tr>
      <w:tr>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附件4</w:t>
            </w:r>
          </w:p>
        </w:tc>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365×144电价矩阵</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2025.1.1-12.31</w:t>
            </w:r>
          </w:p>
        </w:tc>
        <w:tc>
          <w:tcPr>
            <w:tcW w:type="dxa" w:w="15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动态电价</w:t>
            </w:r>
          </w:p>
        </w:tc>
      </w:tr>
    </w:tbl>
    <w:p>
      <w:pPr>
        <w:spacing w:after="40"/>
      </w:pPr>
    </w:p>
    <w:p>
      <w:pPr>
        <w:spacing w:line="360" w:lineRule="auto" w:after="80"/>
        <w:ind w:firstLine="420"/>
        <w:jc w:val="both"/>
      </w:pPr>
      <w:r>
        <w:rPr>
          <w:rFonts w:ascii="Times New Roman" w:hAnsi="Times New Roman" w:eastAsia="宋体"/>
          <w:b w:val="0"/>
          <w:color w:val="000000"/>
          <w:sz w:val="21"/>
        </w:rPr>
        <w:t>程序逐项验证365个日期连续覆盖2025年、所有矩阵形状正确、数值有限且非负。负载和光伏中的极值反映实际峰谷，不作为异常点删除；模型通过容量、功率和功率平衡约束处理这些极端运行状态。</w:t>
      </w:r>
    </w:p>
    <w:p>
      <w:pPr>
        <w:pStyle w:val="Heading2"/>
        <w:keepNext/>
        <w:spacing w:before="120" w:after="100"/>
      </w:pPr>
      <w:r>
        <w:rPr>
          <w:rFonts w:ascii="Times New Roman" w:hAnsi="Times New Roman" w:eastAsia="黑体"/>
          <w:b/>
          <w:color w:val="000000"/>
          <w:sz w:val="25"/>
        </w:rPr>
        <w:t>4.2 时间对齐</w:t>
      </w:r>
    </w:p>
    <w:p>
      <w:pPr>
        <w:spacing w:line="360" w:lineRule="auto" w:after="80"/>
        <w:ind w:firstLine="420"/>
        <w:jc w:val="both"/>
      </w:pPr>
      <w:r>
        <w:rPr>
          <w:rFonts w:ascii="Times New Roman" w:hAnsi="Times New Roman" w:eastAsia="宋体"/>
          <w:b w:val="0"/>
          <w:color w:val="000000"/>
          <w:sz w:val="21"/>
        </w:rPr>
        <w:t>题面明确0:00+1表示次日0:00，即当天24:00。一天共有144个10分钟功率值，因此唯一覆盖完整自然日且不跨出题目范围的映射，是把每个附件时间戳视为区间右端点。校正后的索引关系见表2。</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800"/>
            <w:shd w:fill="D9EAF7"/>
            <w:vAlign w:val="center"/>
          </w:tcPr>
          <w:p>
            <w:pPr>
              <w:keepNext/>
              <w:jc w:val="center"/>
            </w:pPr>
            <w:r>
              <w:rPr>
                <w:rFonts w:ascii="Times New Roman" w:hAnsi="Times New Roman" w:eastAsia="黑体"/>
                <w:b/>
                <w:color w:val="000000"/>
                <w:sz w:val="19"/>
              </w:rPr>
              <w:t>附件时间戳</w:t>
            </w:r>
          </w:p>
        </w:tc>
        <w:tc>
          <w:tcPr>
            <w:tcW w:type="dxa" w:w="1440"/>
            <w:shd w:fill="D9EAF7"/>
            <w:vAlign w:val="center"/>
          </w:tcPr>
          <w:p>
            <w:pPr>
              <w:keepNext/>
              <w:jc w:val="center"/>
            </w:pPr>
            <w:r>
              <w:rPr>
                <w:rFonts w:ascii="Times New Roman" w:hAnsi="Times New Roman" w:eastAsia="黑体"/>
                <w:b/>
                <w:color w:val="000000"/>
                <w:sz w:val="19"/>
              </w:rPr>
              <w:t>数组索引</w:t>
            </w:r>
          </w:p>
        </w:tc>
        <w:tc>
          <w:tcPr>
            <w:tcW w:type="dxa" w:w="2880"/>
            <w:shd w:fill="D9EAF7"/>
            <w:vAlign w:val="center"/>
          </w:tcPr>
          <w:p>
            <w:pPr>
              <w:keepNext/>
              <w:jc w:val="center"/>
            </w:pPr>
            <w:r>
              <w:rPr>
                <w:rFonts w:ascii="Times New Roman" w:hAnsi="Times New Roman" w:eastAsia="黑体"/>
                <w:b/>
                <w:color w:val="000000"/>
                <w:sz w:val="19"/>
              </w:rPr>
              <w:t>正确物理区间</w:t>
            </w:r>
          </w:p>
        </w:tc>
        <w:tc>
          <w:tcPr>
            <w:tcW w:type="dxa" w:w="3240"/>
            <w:shd w:fill="D9EAF7"/>
            <w:vAlign w:val="center"/>
          </w:tcPr>
          <w:p>
            <w:pPr>
              <w:keepNext/>
              <w:jc w:val="center"/>
            </w:pPr>
            <w:r>
              <w:rPr>
                <w:rFonts w:ascii="Times New Roman" w:hAnsi="Times New Roman" w:eastAsia="黑体"/>
                <w:b/>
                <w:color w:val="000000"/>
                <w:sz w:val="19"/>
              </w:rPr>
              <w:t>滚动含义</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0:10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2880"/>
            <w:vAlign w:val="center"/>
            <w:tcMar>
              <w:top w:w="80" w:type="dxa"/>
              <w:start w:w="90" w:type="dxa"/>
              <w:bottom w:w="80" w:type="dxa"/>
              <w:end w:w="90" w:type="dxa"/>
            </w:tcMar>
          </w:tcPr>
          <w:p>
            <w:pPr>
              <w:jc w:val="center"/>
            </w:pPr>
            <w:r>
              <w:rPr>
                <w:rFonts w:ascii="Times New Roman" w:hAnsi="Times New Roman" w:eastAsia="宋体"/>
                <w:b w:val="0"/>
                <w:color w:val="000000"/>
                <w:sz w:val="19"/>
              </w:rPr>
              <w:t>0:00-0:10</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9"/>
              </w:rPr>
              <w:t>0:00计划的第1格</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1:00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5</w:t>
            </w:r>
          </w:p>
        </w:tc>
        <w:tc>
          <w:tcPr>
            <w:tcW w:type="dxa" w:w="28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0:50-1:00</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第1小时的第6格</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6:10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36</w:t>
            </w:r>
          </w:p>
        </w:tc>
        <w:tc>
          <w:tcPr>
            <w:tcW w:type="dxa" w:w="2880"/>
            <w:vAlign w:val="center"/>
            <w:tcMar>
              <w:top w:w="80" w:type="dxa"/>
              <w:start w:w="90" w:type="dxa"/>
              <w:bottom w:w="80" w:type="dxa"/>
              <w:end w:w="90" w:type="dxa"/>
            </w:tcMar>
          </w:tcPr>
          <w:p>
            <w:pPr>
              <w:jc w:val="center"/>
            </w:pPr>
            <w:r>
              <w:rPr>
                <w:rFonts w:ascii="Times New Roman" w:hAnsi="Times New Roman" w:eastAsia="宋体"/>
                <w:b w:val="0"/>
                <w:color w:val="000000"/>
                <w:sz w:val="19"/>
              </w:rPr>
              <w:t>6:00-6:10</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9"/>
              </w:rPr>
              <w:t>6:00更新后的第1格</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12:10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72</w:t>
            </w:r>
          </w:p>
        </w:tc>
        <w:tc>
          <w:tcPr>
            <w:tcW w:type="dxa" w:w="28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12:00-12:10</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12:00更新后的第1格</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18:10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108</w:t>
            </w:r>
          </w:p>
        </w:tc>
        <w:tc>
          <w:tcPr>
            <w:tcW w:type="dxa" w:w="2880"/>
            <w:vAlign w:val="center"/>
            <w:tcMar>
              <w:top w:w="80" w:type="dxa"/>
              <w:start w:w="90" w:type="dxa"/>
              <w:bottom w:w="80" w:type="dxa"/>
              <w:end w:w="90" w:type="dxa"/>
            </w:tcMar>
          </w:tcPr>
          <w:p>
            <w:pPr>
              <w:jc w:val="center"/>
            </w:pPr>
            <w:r>
              <w:rPr>
                <w:rFonts w:ascii="Times New Roman" w:hAnsi="Times New Roman" w:eastAsia="宋体"/>
                <w:b w:val="0"/>
                <w:color w:val="000000"/>
                <w:sz w:val="19"/>
              </w:rPr>
              <w:t>18:00-18:10</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9"/>
              </w:rPr>
              <w:t>18:00更新后的第1格</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0:00+1</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143</w:t>
            </w:r>
          </w:p>
        </w:tc>
        <w:tc>
          <w:tcPr>
            <w:tcW w:type="dxa" w:w="28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23:50-24:00</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当天最后一格</w:t>
            </w:r>
          </w:p>
        </w:tc>
      </w:tr>
    </w:tbl>
    <w:p>
      <w:pPr>
        <w:spacing w:after="40"/>
      </w:pPr>
    </w:p>
    <w:p>
      <w:pPr>
        <w:spacing w:line="360" w:lineRule="auto" w:after="80"/>
        <w:ind w:firstLine="420"/>
        <w:jc w:val="both"/>
      </w:pPr>
      <w:r>
        <w:rPr>
          <w:rFonts w:ascii="Times New Roman" w:hAnsi="Times New Roman" w:eastAsia="宋体"/>
          <w:b w:val="0"/>
          <w:color w:val="000000"/>
          <w:sz w:val="21"/>
        </w:rPr>
        <w:t>因此不对数值序列做循环移位，而是把原模板中的区间标签整体向前校正10分钟。这样既保留源数据的日内顺序，又避免将12月31日最后一格错误连接到下一年0:10。</w:t>
      </w:r>
    </w:p>
    <w:p>
      <w:pPr>
        <w:pStyle w:val="Heading2"/>
        <w:keepNext/>
        <w:spacing w:before="120" w:after="100"/>
      </w:pPr>
      <w:r>
        <w:rPr>
          <w:rFonts w:ascii="Times New Roman" w:hAnsi="Times New Roman" w:eastAsia="黑体"/>
          <w:b/>
          <w:color w:val="000000"/>
          <w:sz w:val="25"/>
        </w:rPr>
        <w:t>4.3 功率到电量的换算</w:t>
      </w:r>
    </w:p>
    <w:p>
      <w:pPr>
        <w:spacing w:before="60" w:after="100"/>
        <w:jc w:val="center"/>
      </w:pPr>
      <m:oMathPara>
        <m:oMath>
          <m:r>
            <m:t>L(d,t)=Δt·Pᴸ(d,t)，  Vmax(d,t)=Δt·Pᴾⱽ(d,t)，  Δt=1/6 h</m:t>
          </m:r>
        </m:oMath>
      </m:oMathPara>
      <w:r>
        <w:rPr>
          <w:rFonts w:ascii="Times New Roman" w:hAnsi="Times New Roman" w:eastAsia="Times New Roman"/>
          <w:b w:val="0"/>
          <w:color w:val="000000"/>
          <w:sz w:val="21"/>
        </w:rPr>
        <w:t xml:space="preserve">    (1)</w:t>
      </w:r>
    </w:p>
    <w:p>
      <w:pPr>
        <w:spacing w:line="360" w:lineRule="auto" w:after="80"/>
        <w:ind w:firstLine="420"/>
        <w:jc w:val="both"/>
      </w:pPr>
      <w:r>
        <w:rPr>
          <w:rFonts w:ascii="Times New Roman" w:hAnsi="Times New Roman" w:eastAsia="宋体"/>
          <w:b w:val="0"/>
          <w:color w:val="000000"/>
          <w:sz w:val="21"/>
        </w:rPr>
        <w:t>外网购电、充放电、光伏消纳和紧急购电均以每格kWh建模。故5000 kW最大充放电功率等价于每10分钟不超过833.333 kWh。附件3的每个整点小时预测按零阶保持展开为连续6个10分钟格；例如6:00发布的第1小时预测覆盖6:00-7:00。</w:t>
      </w:r>
    </w:p>
    <w:p>
      <w:pPr>
        <w:pStyle w:val="Heading2"/>
        <w:keepNext/>
        <w:spacing w:before="120" w:after="100"/>
      </w:pPr>
      <w:r>
        <w:rPr>
          <w:rFonts w:ascii="Times New Roman" w:hAnsi="Times New Roman" w:eastAsia="黑体"/>
          <w:b/>
          <w:color w:val="000000"/>
          <w:sz w:val="25"/>
        </w:rPr>
        <w:t>4.4 描述性统计</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2088"/>
            <w:shd w:fill="D9EAF7"/>
            <w:vAlign w:val="center"/>
          </w:tcPr>
          <w:p>
            <w:pPr>
              <w:keepNext/>
              <w:jc w:val="center"/>
            </w:pPr>
            <w:r>
              <w:rPr>
                <w:rFonts w:ascii="Times New Roman" w:hAnsi="Times New Roman" w:eastAsia="黑体"/>
                <w:b/>
                <w:color w:val="000000"/>
                <w:sz w:val="17"/>
              </w:rPr>
              <w:t>变量</w:t>
            </w:r>
          </w:p>
        </w:tc>
        <w:tc>
          <w:tcPr>
            <w:tcW w:type="dxa" w:w="1440"/>
            <w:shd w:fill="D9EAF7"/>
            <w:vAlign w:val="center"/>
          </w:tcPr>
          <w:p>
            <w:pPr>
              <w:keepNext/>
              <w:jc w:val="center"/>
            </w:pPr>
            <w:r>
              <w:rPr>
                <w:rFonts w:ascii="Times New Roman" w:hAnsi="Times New Roman" w:eastAsia="黑体"/>
                <w:b/>
                <w:color w:val="000000"/>
                <w:sz w:val="17"/>
              </w:rPr>
              <w:t>均值</w:t>
            </w:r>
          </w:p>
        </w:tc>
        <w:tc>
          <w:tcPr>
            <w:tcW w:type="dxa" w:w="1440"/>
            <w:shd w:fill="D9EAF7"/>
            <w:vAlign w:val="center"/>
          </w:tcPr>
          <w:p>
            <w:pPr>
              <w:keepNext/>
              <w:jc w:val="center"/>
            </w:pPr>
            <w:r>
              <w:rPr>
                <w:rFonts w:ascii="Times New Roman" w:hAnsi="Times New Roman" w:eastAsia="黑体"/>
                <w:b/>
                <w:color w:val="000000"/>
                <w:sz w:val="17"/>
              </w:rPr>
              <w:t>标准差</w:t>
            </w:r>
          </w:p>
        </w:tc>
        <w:tc>
          <w:tcPr>
            <w:tcW w:type="dxa" w:w="1440"/>
            <w:shd w:fill="D9EAF7"/>
            <w:vAlign w:val="center"/>
          </w:tcPr>
          <w:p>
            <w:pPr>
              <w:keepNext/>
              <w:jc w:val="center"/>
            </w:pPr>
            <w:r>
              <w:rPr>
                <w:rFonts w:ascii="Times New Roman" w:hAnsi="Times New Roman" w:eastAsia="黑体"/>
                <w:b/>
                <w:color w:val="000000"/>
                <w:sz w:val="17"/>
              </w:rPr>
              <w:t>最小值</w:t>
            </w:r>
          </w:p>
        </w:tc>
        <w:tc>
          <w:tcPr>
            <w:tcW w:type="dxa" w:w="1440"/>
            <w:shd w:fill="D9EAF7"/>
            <w:vAlign w:val="center"/>
          </w:tcPr>
          <w:p>
            <w:pPr>
              <w:keepNext/>
              <w:jc w:val="center"/>
            </w:pPr>
            <w:r>
              <w:rPr>
                <w:rFonts w:ascii="Times New Roman" w:hAnsi="Times New Roman" w:eastAsia="黑体"/>
                <w:b/>
                <w:color w:val="000000"/>
                <w:sz w:val="17"/>
              </w:rPr>
              <w:t>中位数</w:t>
            </w:r>
          </w:p>
        </w:tc>
        <w:tc>
          <w:tcPr>
            <w:tcW w:type="dxa" w:w="1512"/>
            <w:shd w:fill="D9EAF7"/>
            <w:vAlign w:val="center"/>
          </w:tcPr>
          <w:p>
            <w:pPr>
              <w:keepNext/>
              <w:jc w:val="center"/>
            </w:pPr>
            <w:r>
              <w:rPr>
                <w:rFonts w:ascii="Times New Roman" w:hAnsi="Times New Roman" w:eastAsia="黑体"/>
                <w:b/>
                <w:color w:val="000000"/>
                <w:sz w:val="17"/>
              </w:rPr>
              <w:t>最大值</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典型日负载/kW</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4,626.0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977.5</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3,309.4</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4,377.6</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7"/>
              </w:rPr>
              <w:t>5,959.0</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典型日光伏/kW</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2,311.8</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2,854.4</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387.6</w:t>
            </w:r>
          </w:p>
        </w:tc>
        <w:tc>
          <w:tcPr>
            <w:tcW w:type="dxa" w:w="15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7,612.3</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全年负载/kW</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4,626.0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1,411.7</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1,995.7</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4,270.7</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7"/>
              </w:rPr>
              <w:t>7,978.9</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全年实际光伏/kW</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2,311.8</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2,948.6</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18.9</w:t>
            </w:r>
          </w:p>
        </w:tc>
        <w:tc>
          <w:tcPr>
            <w:tcW w:type="dxa" w:w="15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10,216.2</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动态电价/元·kWh⁻¹</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0.7662</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0.3407</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0.0076</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0.7385</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7"/>
              </w:rPr>
              <w:t>1.7936</w:t>
            </w:r>
          </w:p>
        </w:tc>
      </w:tr>
    </w:tbl>
    <w:p>
      <w:pPr>
        <w:spacing w:after="40"/>
      </w:pPr>
    </w:p>
    <w:p>
      <w:pPr>
        <w:spacing w:line="360" w:lineRule="auto" w:after="80"/>
        <w:ind w:firstLine="420"/>
        <w:jc w:val="both"/>
      </w:pPr>
      <w:r>
        <w:rPr>
          <w:rFonts w:ascii="Times New Roman" w:hAnsi="Times New Roman" w:eastAsia="宋体"/>
          <w:b w:val="0"/>
          <w:color w:val="000000"/>
          <w:sz w:val="21"/>
        </w:rPr>
        <w:t>全年光伏标准差大于均值且中位数接近零，表明夜间零出力与日间高峰并存；动态电价取值范围0.0076-1.7936元/kWh，比固定时段电价的波动更强，因而更可能改变储能套利时序。</w:t>
      </w:r>
    </w:p>
    <w:p>
      <w:pPr>
        <w:pStyle w:val="Heading2"/>
        <w:keepNext/>
        <w:spacing w:before="120" w:after="100"/>
      </w:pPr>
      <w:r>
        <w:rPr>
          <w:rFonts w:ascii="Times New Roman" w:hAnsi="Times New Roman" w:eastAsia="黑体"/>
          <w:b/>
          <w:color w:val="000000"/>
          <w:sz w:val="25"/>
        </w:rPr>
        <w:t>4.5 月度电量结构</w:t>
      </w:r>
    </w:p>
    <w:p>
      <w:pPr>
        <w:spacing w:line="360" w:lineRule="auto" w:after="80"/>
        <w:ind w:firstLine="420"/>
        <w:jc w:val="both"/>
      </w:pPr>
      <w:r>
        <w:rPr>
          <w:rFonts w:ascii="Times New Roman" w:hAnsi="Times New Roman" w:eastAsia="宋体"/>
          <w:b w:val="0"/>
          <w:color w:val="000000"/>
          <w:sz w:val="21"/>
        </w:rPr>
        <w:t>为识别年度调度的季节差异，本文把2月1日至12月31日的10分钟负载与实际光伏分别按月求和。月度统计只用于解释结果，优化模型仍在10分钟尺度上求解，因此不会掩盖日内峰谷和储能功率约束。</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080"/>
            <w:shd w:fill="D9EAF7"/>
            <w:vAlign w:val="center"/>
          </w:tcPr>
          <w:p>
            <w:pPr>
              <w:keepNext/>
              <w:jc w:val="center"/>
            </w:pPr>
            <w:r>
              <w:rPr>
                <w:rFonts w:ascii="Times New Roman" w:hAnsi="Times New Roman" w:eastAsia="黑体"/>
                <w:b/>
                <w:color w:val="000000"/>
                <w:sz w:val="16"/>
              </w:rPr>
              <w:t>月份</w:t>
            </w:r>
          </w:p>
        </w:tc>
        <w:tc>
          <w:tcPr>
            <w:tcW w:type="dxa" w:w="2088"/>
            <w:shd w:fill="D9EAF7"/>
            <w:vAlign w:val="center"/>
          </w:tcPr>
          <w:p>
            <w:pPr>
              <w:keepNext/>
              <w:jc w:val="center"/>
            </w:pPr>
            <w:r>
              <w:rPr>
                <w:rFonts w:ascii="Times New Roman" w:hAnsi="Times New Roman" w:eastAsia="黑体"/>
                <w:b/>
                <w:color w:val="000000"/>
                <w:sz w:val="16"/>
              </w:rPr>
              <w:t>负载/万kWh</w:t>
            </w:r>
          </w:p>
        </w:tc>
        <w:tc>
          <w:tcPr>
            <w:tcW w:type="dxa" w:w="2232"/>
            <w:shd w:fill="D9EAF7"/>
            <w:vAlign w:val="center"/>
          </w:tcPr>
          <w:p>
            <w:pPr>
              <w:keepNext/>
              <w:jc w:val="center"/>
            </w:pPr>
            <w:r>
              <w:rPr>
                <w:rFonts w:ascii="Times New Roman" w:hAnsi="Times New Roman" w:eastAsia="黑体"/>
                <w:b/>
                <w:color w:val="000000"/>
                <w:sz w:val="16"/>
              </w:rPr>
              <w:t>实际光伏/万kWh</w:t>
            </w:r>
          </w:p>
        </w:tc>
        <w:tc>
          <w:tcPr>
            <w:tcW w:type="dxa" w:w="2232"/>
            <w:shd w:fill="D9EAF7"/>
            <w:vAlign w:val="center"/>
          </w:tcPr>
          <w:p>
            <w:pPr>
              <w:keepNext/>
              <w:jc w:val="center"/>
            </w:pPr>
            <w:r>
              <w:rPr>
                <w:rFonts w:ascii="Times New Roman" w:hAnsi="Times New Roman" w:eastAsia="黑体"/>
                <w:b/>
                <w:color w:val="000000"/>
                <w:sz w:val="16"/>
              </w:rPr>
              <w:t>问题二购电/万kWh</w:t>
            </w:r>
          </w:p>
        </w:tc>
        <w:tc>
          <w:tcPr>
            <w:tcW w:type="dxa" w:w="1728"/>
            <w:shd w:fill="D9EAF7"/>
            <w:vAlign w:val="center"/>
          </w:tcPr>
          <w:p>
            <w:pPr>
              <w:keepNext/>
              <w:jc w:val="center"/>
            </w:pPr>
            <w:r>
              <w:rPr>
                <w:rFonts w:ascii="Times New Roman" w:hAnsi="Times New Roman" w:eastAsia="黑体"/>
                <w:b/>
                <w:color w:val="000000"/>
                <w:sz w:val="16"/>
              </w:rPr>
              <w:t>光伏负载比/%</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2月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303.54</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132.15</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185.03</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43.54</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324.06</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171.43</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174.22</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52.90</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4月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316.29</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194.52</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146.34</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61.50</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327.48</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208.80</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145.06</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63.76</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6月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345.63</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170.63</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190.77</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49.37</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397.09</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202.61</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212.14</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51.02</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8月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375.36</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216.95</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186.37</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57.80</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326.59</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187.75</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162.98</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57.49</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10月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323.42</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175.90</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170.84</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54.39</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312.31</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133.52</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194.74</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42.75</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12月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349.03</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112.63</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250.26</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32.27</w:t>
            </w:r>
          </w:p>
        </w:tc>
      </w:tr>
    </w:tbl>
    <w:p>
      <w:pPr>
        <w:spacing w:after="40"/>
      </w:pPr>
    </w:p>
    <w:p>
      <w:pPr>
        <w:spacing w:before="80" w:after="40"/>
        <w:jc w:val="center"/>
      </w:pPr>
      <w:r>
        <w:drawing>
          <wp:inline xmlns:a="http://schemas.openxmlformats.org/drawingml/2006/main" xmlns:pic="http://schemas.openxmlformats.org/drawingml/2006/picture">
            <wp:extent cx="5806440" cy="2866930"/>
            <wp:docPr id="2" name="Picture 2"/>
            <wp:cNvGraphicFramePr>
              <a:graphicFrameLocks noChangeAspect="1"/>
            </wp:cNvGraphicFramePr>
            <a:graphic>
              <a:graphicData uri="http://schemas.openxmlformats.org/drawingml/2006/picture">
                <pic:pic>
                  <pic:nvPicPr>
                    <pic:cNvPr id="0" name="monthly_energy.png"/>
                    <pic:cNvPicPr/>
                  </pic:nvPicPr>
                  <pic:blipFill>
                    <a:blip r:embed="rId11"/>
                    <a:stretch>
                      <a:fillRect/>
                    </a:stretch>
                  </pic:blipFill>
                  <pic:spPr>
                    <a:xfrm>
                      <a:off x="0" y="0"/>
                      <a:ext cx="5806440" cy="2866930"/>
                    </a:xfrm>
                    <a:prstGeom prst="rect"/>
                  </pic:spPr>
                </pic:pic>
              </a:graphicData>
            </a:graphic>
          </wp:inline>
        </w:drawing>
      </w:r>
    </w:p>
    <w:p>
      <w:pPr>
        <w:keepNext/>
        <w:spacing w:before="100" w:after="80"/>
        <w:jc w:val="center"/>
      </w:pPr>
      <w:r>
        <w:rPr>
          <w:rFonts w:ascii="Times New Roman" w:hAnsi="Times New Roman" w:eastAsia="宋体"/>
          <w:b/>
          <w:color w:val="000000"/>
          <w:sz w:val="21"/>
        </w:rPr>
        <w:t>图4  月度负载 光伏与确定性购电量</w:t>
      </w:r>
    </w:p>
    <w:p>
      <w:pPr>
        <w:spacing w:line="360" w:lineRule="auto" w:after="80"/>
        <w:ind w:firstLine="420"/>
        <w:jc w:val="both"/>
      </w:pPr>
      <w:r>
        <w:rPr>
          <w:rFonts w:ascii="Times New Roman" w:hAnsi="Times New Roman" w:eastAsia="宋体"/>
          <w:b w:val="0"/>
          <w:color w:val="000000"/>
          <w:sz w:val="21"/>
        </w:rPr>
        <w:t>月度结果表明，负载峰值出现在7月，实际光伏电量峰值出现在8月，问题二购电量峰值出现在12月。三者峰值月份并不完全重合，说明年度费用不能仅由总光伏量解释；光伏与负载在日内是否同步、储能是否有足够容量把午间电量转移到晚间，同样决定外网购电。</w:t>
      </w:r>
    </w:p>
    <w:p>
      <w:pPr>
        <w:pStyle w:val="Heading2"/>
        <w:keepNext/>
        <w:spacing w:before="120" w:after="100"/>
      </w:pPr>
      <w:r>
        <w:rPr>
          <w:rFonts w:ascii="Times New Roman" w:hAnsi="Times New Roman" w:eastAsia="黑体"/>
          <w:b/>
          <w:color w:val="000000"/>
          <w:sz w:val="25"/>
        </w:rPr>
        <w:t>4.6 时间口径错误的传导</w:t>
      </w:r>
    </w:p>
    <w:p>
      <w:pPr>
        <w:spacing w:line="360" w:lineRule="auto" w:after="80"/>
        <w:ind w:firstLine="420"/>
        <w:jc w:val="both"/>
      </w:pPr>
      <w:r>
        <w:rPr>
          <w:rFonts w:ascii="Times New Roman" w:hAnsi="Times New Roman" w:eastAsia="宋体"/>
          <w:b w:val="0"/>
          <w:color w:val="000000"/>
          <w:sz w:val="21"/>
        </w:rPr>
        <w:t>若把附件的右端时间戳误作左端时间戳，第i列会被解释为区间[i×10,(i+1)×10]分钟，而实际区间应为[(i-1)×10,i×10]分钟。两种解释相差一个10分钟格。该误差不会改变全天简单求和，却会改变指定时段取值、峰谷电价匹配、6点滚动边界和紧急购电区间。尤其在电价跳变点，购电量会被乘上相邻时段的错误价格。</w:t>
      </w:r>
    </w:p>
    <w:p>
      <w:pPr>
        <w:spacing w:line="360" w:lineRule="auto" w:after="80"/>
        <w:ind w:firstLine="420"/>
        <w:jc w:val="both"/>
      </w:pPr>
      <w:r>
        <w:rPr>
          <w:rFonts w:ascii="Times New Roman" w:hAnsi="Times New Roman" w:eastAsia="宋体"/>
          <w:b w:val="0"/>
          <w:color w:val="000000"/>
          <w:sz w:val="21"/>
        </w:rPr>
        <w:t>记正确区间为 Iᵣ(i)=[10i-10,10i]，错误区间为 Iₑ(i)=[10i,10i+10]，则两者恒相差10分钟。</w:t>
      </w:r>
    </w:p>
    <w:p>
      <w:pPr>
        <w:spacing w:line="360" w:lineRule="auto" w:after="80"/>
        <w:ind w:firstLine="420"/>
        <w:jc w:val="both"/>
      </w:pPr>
      <w:r>
        <w:rPr>
          <w:rFonts w:ascii="Times New Roman" w:hAnsi="Times New Roman" w:eastAsia="宋体"/>
          <w:b w:val="0"/>
          <w:color w:val="000000"/>
          <w:sz w:val="21"/>
        </w:rPr>
        <w:t>本题中0:10列的数组索引为0，6:10列的索引为36。滚动优化在6:00发布新预测时，应从索引36开始修改，而不是从索引35或37开始。程序将时间标签生成、指定时段查询、紧急区间合并和Excel表头写入统一到同一函数，从源头避免论文、代码与结果文件采用不同口径。</w:t>
      </w:r>
    </w:p>
    <w:p>
      <w:pPr>
        <w:pStyle w:val="Heading2"/>
        <w:keepNext/>
        <w:spacing w:before="120" w:after="100"/>
      </w:pPr>
      <w:r>
        <w:rPr>
          <w:rFonts w:ascii="Times New Roman" w:hAnsi="Times New Roman" w:eastAsia="黑体"/>
          <w:b/>
          <w:color w:val="000000"/>
          <w:sz w:val="25"/>
        </w:rPr>
        <w:t>4.7 数据尺度与模型尺度的一致性</w:t>
      </w:r>
    </w:p>
    <w:p>
      <w:pPr>
        <w:spacing w:line="360" w:lineRule="auto" w:after="80"/>
        <w:ind w:firstLine="420"/>
        <w:jc w:val="both"/>
      </w:pPr>
      <w:r>
        <w:rPr>
          <w:rFonts w:ascii="Times New Roman" w:hAnsi="Times New Roman" w:eastAsia="宋体"/>
          <w:b w:val="0"/>
          <w:color w:val="000000"/>
          <w:sz w:val="21"/>
        </w:rPr>
        <w:t>附件3给出整点功率预测，附件1、2和4给出10分钟功率或价格。本文对整点预测采用零阶保持，即一个小时预测值连续作用于6个10分钟区间；对负载和实际光伏不做插值。这样既符合预测发布频率，又避免使用未来信息。所有进入SOC方程和费用函数的量均为kWh，价格保持元/kWh，因此目标函数各项单位均为元。</w:t>
      </w:r>
    </w:p>
    <w:p>
      <w:pPr>
        <w:pStyle w:val="Heading1"/>
        <w:keepNext/>
        <w:spacing w:before="200" w:after="100"/>
      </w:pPr>
      <w:r>
        <w:rPr>
          <w:rFonts w:ascii="Times New Roman" w:hAnsi="Times New Roman" w:eastAsia="黑体"/>
          <w:b/>
          <w:color w:val="000000"/>
          <w:sz w:val="30"/>
        </w:rPr>
        <w:t>5  统一购电与储能优化模型</w:t>
      </w:r>
    </w:p>
    <w:p>
      <w:pPr>
        <w:pStyle w:val="Heading2"/>
        <w:keepNext/>
        <w:spacing w:before="120" w:after="100"/>
      </w:pPr>
      <w:r>
        <w:rPr>
          <w:rFonts w:ascii="Times New Roman" w:hAnsi="Times New Roman" w:eastAsia="黑体"/>
          <w:b/>
          <w:color w:val="000000"/>
          <w:sz w:val="25"/>
        </w:rPr>
        <w:t>5.1 决策变量与能量平衡</w:t>
      </w:r>
    </w:p>
    <w:p>
      <w:pPr>
        <w:spacing w:line="360" w:lineRule="auto" w:after="80"/>
        <w:ind w:firstLine="420"/>
        <w:jc w:val="both"/>
      </w:pPr>
      <w:r>
        <w:rPr>
          <w:rFonts w:ascii="Times New Roman" w:hAnsi="Times New Roman" w:eastAsia="宋体"/>
          <w:b w:val="0"/>
          <w:color w:val="000000"/>
          <w:sz w:val="21"/>
        </w:rPr>
        <w:t>每个区间的连续决策变量为外网购电G、紧急购电E、光伏消纳V、充电C、放电D及区间端点SOC。微网不允许反向送电，所有电量变量非负。负载平衡写为：</w:t>
      </w:r>
    </w:p>
    <w:p>
      <w:pPr>
        <w:spacing w:before="60" w:after="100"/>
        <w:jc w:val="center"/>
      </w:pPr>
      <m:oMathPara>
        <m:oMath>
          <m:r>
            <m:t>G(d,t)+E(d,t)+V(d,t)+D(d,t)=L(d,t)+C(d,t)</m:t>
          </m:r>
        </m:oMath>
      </m:oMathPara>
      <w:r>
        <w:rPr>
          <w:rFonts w:ascii="Times New Roman" w:hAnsi="Times New Roman" w:eastAsia="Times New Roman"/>
          <w:b w:val="0"/>
          <w:color w:val="000000"/>
          <w:sz w:val="21"/>
        </w:rPr>
        <w:t xml:space="preserve">    (2)</w:t>
      </w:r>
    </w:p>
    <w:p>
      <w:pPr>
        <w:spacing w:line="360" w:lineRule="auto" w:after="80"/>
        <w:ind w:firstLine="420"/>
        <w:jc w:val="both"/>
      </w:pPr>
      <w:r>
        <w:rPr>
          <w:rFonts w:ascii="Times New Roman" w:hAnsi="Times New Roman" w:eastAsia="宋体"/>
          <w:b w:val="0"/>
          <w:color w:val="000000"/>
          <w:sz w:val="21"/>
        </w:rPr>
        <w:t>该等式同时保证供能不低于负载，并把储能充电视为额外用电需求。光伏消纳满足0≤V(d,t)≤Vmax(d,t)，未消纳部分计为弃光但不直接产生费用。</w:t>
      </w:r>
    </w:p>
    <w:p>
      <w:pPr>
        <w:pStyle w:val="Heading2"/>
        <w:keepNext/>
        <w:spacing w:before="120" w:after="100"/>
      </w:pPr>
      <w:r>
        <w:rPr>
          <w:rFonts w:ascii="Times New Roman" w:hAnsi="Times New Roman" w:eastAsia="黑体"/>
          <w:b/>
          <w:color w:val="000000"/>
          <w:sz w:val="25"/>
        </w:rPr>
        <w:t>5.2 储能状态方程</w:t>
      </w:r>
    </w:p>
    <w:p>
      <w:pPr>
        <w:spacing w:before="60" w:after="100"/>
        <w:jc w:val="center"/>
      </w:pPr>
      <m:oMathPara>
        <m:oMath>
          <m:r>
            <m:t>S(d,t+1)=S(d,t)+ηC(d,t)-D(d,t)/η，  η=0.90</m:t>
          </m:r>
        </m:oMath>
      </m:oMathPara>
      <w:r>
        <w:rPr>
          <w:rFonts w:ascii="Times New Roman" w:hAnsi="Times New Roman" w:eastAsia="Times New Roman"/>
          <w:b w:val="0"/>
          <w:color w:val="000000"/>
          <w:sz w:val="21"/>
        </w:rPr>
        <w:t xml:space="preserve">    (3)</w:t>
      </w:r>
    </w:p>
    <w:p>
      <w:pPr>
        <w:spacing w:line="360" w:lineRule="auto" w:after="80"/>
        <w:ind w:firstLine="420"/>
        <w:jc w:val="both"/>
      </w:pPr>
      <w:r>
        <w:rPr>
          <w:rFonts w:ascii="Times New Roman" w:hAnsi="Times New Roman" w:eastAsia="宋体"/>
          <w:b w:val="0"/>
          <w:color w:val="000000"/>
          <w:sz w:val="21"/>
        </w:rPr>
        <w:t>充电量和放电量均定义在交流母线侧。充入C后只有ηC进入电池，从电池取出D/η才能向母线交付D，因此充放电往返效率为η²=81%。</w:t>
      </w:r>
    </w:p>
    <w:p>
      <w:pPr>
        <w:pStyle w:val="Heading2"/>
        <w:keepNext/>
        <w:spacing w:before="120" w:after="100"/>
      </w:pPr>
      <w:r>
        <w:rPr>
          <w:rFonts w:ascii="Times New Roman" w:hAnsi="Times New Roman" w:eastAsia="黑体"/>
          <w:b/>
          <w:color w:val="000000"/>
          <w:sz w:val="25"/>
        </w:rPr>
        <w:t>5.3 容量、功率和首尾约束</w:t>
      </w:r>
    </w:p>
    <w:p>
      <w:pPr>
        <w:spacing w:before="60" w:after="100"/>
        <w:jc w:val="center"/>
      </w:pPr>
      <m:oMathPara>
        <m:oMath>
          <m:r>
            <m:t>1200≤S(d,t)≤10800，  0≤C(d,t),D(d,t)≤833.333，  0≤V(d,t)≤Vmax(d,t)</m:t>
          </m:r>
        </m:oMath>
      </m:oMathPara>
      <w:r>
        <w:rPr>
          <w:rFonts w:ascii="Times New Roman" w:hAnsi="Times New Roman" w:eastAsia="Times New Roman"/>
          <w:b w:val="0"/>
          <w:color w:val="000000"/>
          <w:sz w:val="21"/>
        </w:rPr>
        <w:t xml:space="preserve">    (4)</w:t>
      </w:r>
    </w:p>
    <w:p>
      <w:pPr>
        <w:spacing w:before="60" w:after="100"/>
        <w:jc w:val="center"/>
      </w:pPr>
      <m:oMathPara>
        <m:oMath>
          <m:r>
            <m:t>S(d,0)=S(d,144)，  S(2025-01-01,0)=S(2025-12-31,144)=6000 kWh</m:t>
          </m:r>
        </m:oMath>
      </m:oMathPara>
      <w:r>
        <w:rPr>
          <w:rFonts w:ascii="Times New Roman" w:hAnsi="Times New Roman" w:eastAsia="Times New Roman"/>
          <w:b w:val="0"/>
          <w:color w:val="000000"/>
          <w:sz w:val="21"/>
        </w:rPr>
        <w:t xml:space="preserve">    (5)</w:t>
      </w:r>
    </w:p>
    <w:p>
      <w:pPr>
        <w:spacing w:line="360" w:lineRule="auto" w:after="80"/>
        <w:ind w:firstLine="420"/>
        <w:jc w:val="both"/>
      </w:pPr>
      <w:r>
        <w:rPr>
          <w:rFonts w:ascii="Times New Roman" w:hAnsi="Times New Roman" w:eastAsia="宋体"/>
          <w:b w:val="0"/>
          <w:color w:val="000000"/>
          <w:sz w:val="21"/>
        </w:rPr>
        <w:t>问题一要求典型日首尾SOC均为6000 kWh。问题二和问题四的全年确定性模型保持跨日SOC连续，并固定全年首末状态为6000 kWh。滚动模型为避免把当日储能成本转移到次日，采用每日首尾SOC相等的终端策略。</w:t>
      </w:r>
    </w:p>
    <w:p>
      <w:pPr>
        <w:pStyle w:val="Heading2"/>
        <w:keepNext/>
        <w:spacing w:before="120" w:after="100"/>
      </w:pPr>
      <w:r>
        <w:rPr>
          <w:rFonts w:ascii="Times New Roman" w:hAnsi="Times New Roman" w:eastAsia="黑体"/>
          <w:b/>
          <w:color w:val="000000"/>
          <w:sz w:val="25"/>
        </w:rPr>
        <w:t>5.4 目标函数与求解方法</w:t>
      </w:r>
    </w:p>
    <w:p>
      <w:pPr>
        <w:spacing w:before="60" w:after="100"/>
        <w:jc w:val="center"/>
      </w:pPr>
      <m:oMathPara>
        <m:oMath>
          <m:r>
            <m:t>min C=Σ(d,t) π(d,t)G(d,t)+5Σ(d,t)π(d,t)E(d,t)+εΣ(d,t)[C(d,t)+D(d,t)]</m:t>
          </m:r>
        </m:oMath>
      </m:oMathPara>
      <w:r>
        <w:rPr>
          <w:rFonts w:ascii="Times New Roman" w:hAnsi="Times New Roman" w:eastAsia="Times New Roman"/>
          <w:b w:val="0"/>
          <w:color w:val="000000"/>
          <w:sz w:val="21"/>
        </w:rPr>
        <w:t xml:space="preserve">    (6)</w:t>
      </w:r>
    </w:p>
    <w:p>
      <w:pPr>
        <w:spacing w:line="360" w:lineRule="auto" w:after="80"/>
        <w:ind w:firstLine="420"/>
        <w:jc w:val="both"/>
      </w:pPr>
      <w:r>
        <w:rPr>
          <w:rFonts w:ascii="Times New Roman" w:hAnsi="Times New Roman" w:eastAsia="宋体"/>
          <w:b w:val="0"/>
          <w:color w:val="000000"/>
          <w:sz w:val="21"/>
        </w:rPr>
        <w:t>其中ε=10^-8仅用于打破同成本退化解，不改变以购电费最小为主的目标。确定性问题是稀疏线性规划，使用SciPy调用HiGHS求解。滚动调整加入充放电互斥变量z：C≤833.333z，D≤833.333(1-z)，构成混合整数线性规划。</w:t>
      </w:r>
    </w:p>
    <w:p>
      <w:pPr>
        <w:pStyle w:val="Heading2"/>
        <w:keepNext/>
        <w:spacing w:before="120" w:after="100"/>
      </w:pPr>
      <w:r>
        <w:rPr>
          <w:rFonts w:ascii="Times New Roman" w:hAnsi="Times New Roman" w:eastAsia="黑体"/>
          <w:b/>
          <w:color w:val="000000"/>
          <w:sz w:val="25"/>
        </w:rPr>
        <w:t>5.5 稀疏矩阵表达</w:t>
      </w:r>
    </w:p>
    <w:p>
      <w:pPr>
        <w:spacing w:line="360" w:lineRule="auto" w:after="80"/>
        <w:ind w:firstLine="420"/>
        <w:jc w:val="both"/>
      </w:pPr>
      <w:r>
        <w:rPr>
          <w:rFonts w:ascii="Times New Roman" w:hAnsi="Times New Roman" w:eastAsia="宋体"/>
          <w:b w:val="0"/>
          <w:color w:val="000000"/>
          <w:sz w:val="21"/>
        </w:rPr>
        <w:t>将T个区间的变量按G、C、D、V和T+1个SOC依次拼接为向量x。负载平衡矩阵的每一行只含G、C、D、V四个非零系数，SOC递推矩阵的每一行只含相邻两个SOC及C、D四个系数。因此等式约束矩阵虽有2T行和5T+1列，但非零元素仅为8T，适合采用稀疏存储。</w:t>
      </w:r>
    </w:p>
    <w:p>
      <w:pPr>
        <w:spacing w:before="60" w:after="100"/>
        <w:jc w:val="center"/>
      </w:pPr>
      <m:oMathPara>
        <m:oMath>
          <m:r>
            <m:t>min cᵀx，  s.t. Aeq x=b，  l≤x≤u</m:t>
          </m:r>
        </m:oMath>
      </m:oMathPara>
      <w:r>
        <w:rPr>
          <w:rFonts w:ascii="Times New Roman" w:hAnsi="Times New Roman" w:eastAsia="Times New Roman"/>
          <w:b w:val="0"/>
          <w:color w:val="000000"/>
          <w:sz w:val="21"/>
        </w:rPr>
        <w:t xml:space="preserve">    (7)</w:t>
      </w:r>
    </w:p>
    <w:p>
      <w:pPr>
        <w:spacing w:line="360" w:lineRule="auto" w:after="80"/>
        <w:ind w:firstLine="420"/>
        <w:jc w:val="both"/>
      </w:pPr>
      <w:r>
        <w:rPr>
          <w:rFonts w:ascii="Times New Roman" w:hAnsi="Times New Roman" w:eastAsia="宋体"/>
          <w:b w:val="0"/>
          <w:color w:val="000000"/>
          <w:sz w:val="21"/>
        </w:rPr>
        <w:t>典型日T=144，连续变量共721个，等式约束288条。确定性年度模型把365天串联后仍保持带状稀疏结构；跨日关系只连接前一日末SOC与后一日初SOC，不需要构造稠密矩阵。该结构使年度模型可以直接由HiGHS求解，同时便于独立计算每一行约束残差。</w:t>
      </w:r>
    </w:p>
    <w:p>
      <w:pPr>
        <w:pStyle w:val="Heading2"/>
        <w:keepNext/>
        <w:spacing w:before="120" w:after="100"/>
      </w:pPr>
      <w:r>
        <w:rPr>
          <w:rFonts w:ascii="Times New Roman" w:hAnsi="Times New Roman" w:eastAsia="黑体"/>
          <w:b/>
          <w:color w:val="000000"/>
          <w:sz w:val="25"/>
        </w:rPr>
        <w:t>5.6 偏差费用的线性化</w:t>
      </w:r>
    </w:p>
    <w:p>
      <w:pPr>
        <w:spacing w:line="360" w:lineRule="auto" w:after="80"/>
        <w:ind w:firstLine="420"/>
        <w:jc w:val="both"/>
      </w:pPr>
      <w:r>
        <w:rPr>
          <w:rFonts w:ascii="Times New Roman" w:hAnsi="Times New Roman" w:eastAsia="宋体"/>
          <w:b w:val="0"/>
          <w:color w:val="000000"/>
          <w:sz w:val="21"/>
        </w:rPr>
        <w:t>问题三中正部函数通过非负辅助变量U和R表示。U为相对0点计划的上调购电量，R为下调购电量。二者满足G-G0=U-R。由于上调和下调系数均为正，最优解不会同时令U、R为正，因而无需额外0-1变量即可得到正确偏差费用。</w:t>
      </w:r>
    </w:p>
    <w:p>
      <w:pPr>
        <w:spacing w:before="60" w:after="100"/>
        <w:jc w:val="center"/>
      </w:pPr>
      <m:oMathPara>
        <m:oMath>
          <m:r>
            <m:t>G(d,t)-G0(d,t)=U(d,t)-R(d,t)，  U(d,t),R(d,t)≥0</m:t>
          </m:r>
        </m:oMath>
      </m:oMathPara>
      <w:r>
        <w:rPr>
          <w:rFonts w:ascii="Times New Roman" w:hAnsi="Times New Roman" w:eastAsia="Times New Roman"/>
          <w:b w:val="0"/>
          <w:color w:val="000000"/>
          <w:sz w:val="21"/>
        </w:rPr>
        <w:t xml:space="preserve">    (8)</w:t>
      </w:r>
    </w:p>
    <w:p>
      <w:pPr>
        <w:spacing w:before="60" w:after="100"/>
        <w:jc w:val="center"/>
      </w:pPr>
      <m:oMathPara>
        <m:oMath>
          <m:r>
            <m:t>Cadj=Σ(d,t)π(d,t)[1.5U(d,t)+0.5R(d,t)]</m:t>
          </m:r>
        </m:oMath>
      </m:oMathPara>
      <w:r>
        <w:rPr>
          <w:rFonts w:ascii="Times New Roman" w:hAnsi="Times New Roman" w:eastAsia="Times New Roman"/>
          <w:b w:val="0"/>
          <w:color w:val="000000"/>
          <w:sz w:val="21"/>
        </w:rPr>
        <w:t xml:space="preserve">    (9)</w:t>
      </w:r>
    </w:p>
    <w:p>
      <w:pPr>
        <w:spacing w:line="360" w:lineRule="auto" w:after="80"/>
        <w:ind w:firstLine="420"/>
        <w:jc w:val="both"/>
      </w:pPr>
      <w:r>
        <w:rPr>
          <w:rFonts w:ascii="Times New Roman" w:hAnsi="Times New Roman" w:eastAsia="宋体"/>
          <w:b w:val="0"/>
          <w:color w:val="000000"/>
          <w:sz w:val="21"/>
        </w:rPr>
        <w:t>充放电互斥与偏差线性化不同。若只用连续变量，某些等价退化解可能在同一格同时充、放电。滚动问题引入二元变量z并设置C≤Cmax z、D≤Dmax(1-z)，直接排除该状态。确定性问题则用极小吞吐惩罚选取无循环的等价最优解，从而保持线性规划规模。</w:t>
      </w:r>
    </w:p>
    <w:p>
      <w:pPr>
        <w:pStyle w:val="Heading2"/>
        <w:keepNext/>
        <w:spacing w:before="120" w:after="100"/>
      </w:pPr>
      <w:r>
        <w:rPr>
          <w:rFonts w:ascii="Times New Roman" w:hAnsi="Times New Roman" w:eastAsia="黑体"/>
          <w:b/>
          <w:color w:val="000000"/>
          <w:sz w:val="25"/>
        </w:rPr>
        <w:t>5.7 求解流程与终端状态</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656"/>
            <w:shd w:fill="D9EAF7"/>
            <w:vAlign w:val="center"/>
          </w:tcPr>
          <w:p>
            <w:pPr>
              <w:keepNext/>
              <w:jc w:val="center"/>
            </w:pPr>
            <w:r>
              <w:rPr>
                <w:rFonts w:ascii="Times New Roman" w:hAnsi="Times New Roman" w:eastAsia="黑体"/>
                <w:b/>
                <w:color w:val="000000"/>
                <w:sz w:val="16"/>
              </w:rPr>
              <w:t>阶段</w:t>
            </w:r>
          </w:p>
        </w:tc>
        <w:tc>
          <w:tcPr>
            <w:tcW w:type="dxa" w:w="2088"/>
            <w:shd w:fill="D9EAF7"/>
            <w:vAlign w:val="center"/>
          </w:tcPr>
          <w:p>
            <w:pPr>
              <w:keepNext/>
              <w:jc w:val="center"/>
            </w:pPr>
            <w:r>
              <w:rPr>
                <w:rFonts w:ascii="Times New Roman" w:hAnsi="Times New Roman" w:eastAsia="黑体"/>
                <w:b/>
                <w:color w:val="000000"/>
                <w:sz w:val="16"/>
              </w:rPr>
              <w:t>输入</w:t>
            </w:r>
          </w:p>
        </w:tc>
        <w:tc>
          <w:tcPr>
            <w:tcW w:type="dxa" w:w="1872"/>
            <w:shd w:fill="D9EAF7"/>
            <w:vAlign w:val="center"/>
          </w:tcPr>
          <w:p>
            <w:pPr>
              <w:keepNext/>
              <w:jc w:val="center"/>
            </w:pPr>
            <w:r>
              <w:rPr>
                <w:rFonts w:ascii="Times New Roman" w:hAnsi="Times New Roman" w:eastAsia="黑体"/>
                <w:b/>
                <w:color w:val="000000"/>
                <w:sz w:val="16"/>
              </w:rPr>
              <w:t>优化区间</w:t>
            </w:r>
          </w:p>
        </w:tc>
        <w:tc>
          <w:tcPr>
            <w:tcW w:type="dxa" w:w="2448"/>
            <w:shd w:fill="D9EAF7"/>
            <w:vAlign w:val="center"/>
          </w:tcPr>
          <w:p>
            <w:pPr>
              <w:keepNext/>
              <w:jc w:val="center"/>
            </w:pPr>
            <w:r>
              <w:rPr>
                <w:rFonts w:ascii="Times New Roman" w:hAnsi="Times New Roman" w:eastAsia="黑体"/>
                <w:b/>
                <w:color w:val="000000"/>
                <w:sz w:val="16"/>
              </w:rPr>
              <w:t>固定状态</w:t>
            </w:r>
          </w:p>
        </w:tc>
        <w:tc>
          <w:tcPr>
            <w:tcW w:type="dxa" w:w="1296"/>
            <w:shd w:fill="D9EAF7"/>
            <w:vAlign w:val="center"/>
          </w:tcPr>
          <w:p>
            <w:pPr>
              <w:keepNext/>
              <w:jc w:val="center"/>
            </w:pPr>
            <w:r>
              <w:rPr>
                <w:rFonts w:ascii="Times New Roman" w:hAnsi="Times New Roman" w:eastAsia="黑体"/>
                <w:b/>
                <w:color w:val="000000"/>
                <w:sz w:val="16"/>
              </w:rPr>
              <w:t>输出</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确定性典型日</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附件1</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全天144格</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首末SOC=6000</w:t>
            </w:r>
          </w:p>
        </w:tc>
        <w:tc>
          <w:tcPr>
            <w:tcW w:type="dxa" w:w="1296"/>
            <w:vAlign w:val="center"/>
            <w:tcMar>
              <w:top w:w="80" w:type="dxa"/>
              <w:start w:w="90" w:type="dxa"/>
              <w:bottom w:w="80" w:type="dxa"/>
              <w:end w:w="90" w:type="dxa"/>
            </w:tcMar>
          </w:tcPr>
          <w:p>
            <w:pPr>
              <w:jc w:val="center"/>
            </w:pPr>
            <w:r>
              <w:rPr>
                <w:rFonts w:ascii="Times New Roman" w:hAnsi="Times New Roman" w:eastAsia="宋体"/>
                <w:b w:val="0"/>
                <w:color w:val="000000"/>
                <w:sz w:val="16"/>
              </w:rPr>
              <w:t>问题一计划</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确定性年度</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附件2或4</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全年连续</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年首末SOC=6000</w:t>
            </w:r>
          </w:p>
        </w:tc>
        <w:tc>
          <w:tcPr>
            <w:tcW w:type="dxa" w:w="12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问题二或4-2</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0点计划</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0点24小时预测</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当日144格</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当日首末SOC相等</w:t>
            </w:r>
          </w:p>
        </w:tc>
        <w:tc>
          <w:tcPr>
            <w:tcW w:type="dxa" w:w="1296"/>
            <w:vAlign w:val="center"/>
            <w:tcMar>
              <w:top w:w="80" w:type="dxa"/>
              <w:start w:w="90" w:type="dxa"/>
              <w:bottom w:w="80" w:type="dxa"/>
              <w:end w:w="90" w:type="dxa"/>
            </w:tcMar>
          </w:tcPr>
          <w:p>
            <w:pPr>
              <w:jc w:val="center"/>
            </w:pPr>
            <w:r>
              <w:rPr>
                <w:rFonts w:ascii="Times New Roman" w:hAnsi="Times New Roman" w:eastAsia="宋体"/>
                <w:b w:val="0"/>
                <w:color w:val="000000"/>
                <w:sz w:val="16"/>
              </w:rPr>
              <w:t>基准计划G0</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6点更新</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6点最新预测</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剩余108格</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冻结前36格和当前SOC</w:t>
            </w:r>
          </w:p>
        </w:tc>
        <w:tc>
          <w:tcPr>
            <w:tcW w:type="dxa" w:w="12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6点后策略</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12点更新</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12点最新预测</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剩余72格</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冻结前72格和当前SOC</w:t>
            </w:r>
          </w:p>
        </w:tc>
        <w:tc>
          <w:tcPr>
            <w:tcW w:type="dxa" w:w="1296"/>
            <w:vAlign w:val="center"/>
            <w:tcMar>
              <w:top w:w="80" w:type="dxa"/>
              <w:start w:w="90" w:type="dxa"/>
              <w:bottom w:w="80" w:type="dxa"/>
              <w:end w:w="90" w:type="dxa"/>
            </w:tcMar>
          </w:tcPr>
          <w:p>
            <w:pPr>
              <w:jc w:val="center"/>
            </w:pPr>
            <w:r>
              <w:rPr>
                <w:rFonts w:ascii="Times New Roman" w:hAnsi="Times New Roman" w:eastAsia="宋体"/>
                <w:b w:val="0"/>
                <w:color w:val="000000"/>
                <w:sz w:val="16"/>
              </w:rPr>
              <w:t>12点后策略</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18点更新</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18点最新预测</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剩余36格</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冻结前108格和当前SOC</w:t>
            </w:r>
          </w:p>
        </w:tc>
        <w:tc>
          <w:tcPr>
            <w:tcW w:type="dxa" w:w="12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最终策略</w:t>
            </w:r>
          </w:p>
        </w:tc>
      </w:tr>
    </w:tbl>
    <w:p>
      <w:pPr>
        <w:spacing w:after="40"/>
      </w:pPr>
    </w:p>
    <w:p>
      <w:pPr>
        <w:spacing w:line="360" w:lineRule="auto" w:after="80"/>
        <w:ind w:firstLine="420"/>
        <w:jc w:val="both"/>
      </w:pPr>
      <w:r>
        <w:rPr>
          <w:rFonts w:ascii="Times New Roman" w:hAnsi="Times New Roman" w:eastAsia="宋体"/>
          <w:b w:val="0"/>
          <w:color w:val="000000"/>
          <w:sz w:val="21"/>
        </w:rPr>
        <w:t>每日终端SOC相等用于保持滚动方案之间的可比性。若不设置终端条件，最后一次更新会倾向于耗尽电池，把次日补能成本排除在当日目标之外。若强制终端SOC为固定6000 kWh，又会忽略不同日期实际起始状态。因此本文选择S(d,144)=S(d,0)，既不创造免费能量，也允许日间SOC按价格和光伏变化。</w:t>
      </w:r>
    </w:p>
    <w:p>
      <w:pPr>
        <w:pStyle w:val="Heading1"/>
        <w:keepNext/>
        <w:spacing w:before="200" w:after="100"/>
      </w:pPr>
      <w:r>
        <w:rPr>
          <w:rFonts w:ascii="Times New Roman" w:hAnsi="Times New Roman" w:eastAsia="黑体"/>
          <w:b/>
          <w:color w:val="000000"/>
          <w:sz w:val="30"/>
        </w:rPr>
        <w:t>6  问题一模型求解与结果</w:t>
      </w:r>
    </w:p>
    <w:p>
      <w:pPr>
        <w:pStyle w:val="Heading2"/>
        <w:keepNext/>
        <w:spacing w:before="120" w:after="100"/>
      </w:pPr>
      <w:r>
        <w:rPr>
          <w:rFonts w:ascii="Times New Roman" w:hAnsi="Times New Roman" w:eastAsia="黑体"/>
          <w:b/>
          <w:color w:val="000000"/>
          <w:sz w:val="25"/>
        </w:rPr>
        <w:t>6.1 指定时段和全天购电结果</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232"/>
            <w:shd w:fill="D9EAF7"/>
            <w:vAlign w:val="center"/>
          </w:tcPr>
          <w:p>
            <w:pPr>
              <w:keepNext/>
              <w:jc w:val="center"/>
            </w:pPr>
            <w:r>
              <w:rPr>
                <w:rFonts w:ascii="Times New Roman" w:hAnsi="Times New Roman" w:eastAsia="黑体"/>
                <w:b/>
                <w:color w:val="000000"/>
                <w:sz w:val="19"/>
              </w:rPr>
              <w:t>时间段</w:t>
            </w:r>
          </w:p>
        </w:tc>
        <w:tc>
          <w:tcPr>
            <w:tcW w:type="dxa" w:w="2448"/>
            <w:shd w:fill="D9EAF7"/>
            <w:vAlign w:val="center"/>
          </w:tcPr>
          <w:p>
            <w:pPr>
              <w:keepNext/>
              <w:jc w:val="center"/>
            </w:pPr>
            <w:r>
              <w:rPr>
                <w:rFonts w:ascii="Times New Roman" w:hAnsi="Times New Roman" w:eastAsia="黑体"/>
                <w:b/>
                <w:color w:val="000000"/>
                <w:sz w:val="19"/>
              </w:rPr>
              <w:t>购电量/kWh</w:t>
            </w:r>
          </w:p>
        </w:tc>
        <w:tc>
          <w:tcPr>
            <w:tcW w:type="dxa" w:w="2232"/>
            <w:shd w:fill="D9EAF7"/>
            <w:vAlign w:val="center"/>
          </w:tcPr>
          <w:p>
            <w:pPr>
              <w:keepNext/>
              <w:jc w:val="center"/>
            </w:pPr>
            <w:r>
              <w:rPr>
                <w:rFonts w:ascii="Times New Roman" w:hAnsi="Times New Roman" w:eastAsia="黑体"/>
                <w:b/>
                <w:color w:val="000000"/>
                <w:sz w:val="19"/>
              </w:rPr>
              <w:t>时间段</w:t>
            </w:r>
          </w:p>
        </w:tc>
        <w:tc>
          <w:tcPr>
            <w:tcW w:type="dxa" w:w="2448"/>
            <w:shd w:fill="D9EAF7"/>
            <w:vAlign w:val="center"/>
          </w:tcPr>
          <w:p>
            <w:pPr>
              <w:keepNext/>
              <w:jc w:val="center"/>
            </w:pPr>
            <w:r>
              <w:rPr>
                <w:rFonts w:ascii="Times New Roman" w:hAnsi="Times New Roman" w:eastAsia="黑体"/>
                <w:b/>
                <w:color w:val="000000"/>
                <w:sz w:val="19"/>
              </w:rPr>
              <w:t>购电量/kWh</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10:00-10:10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12:00-12:10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480.412</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14:00-14:10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16:00-16:10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445.432</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18:00-18:10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531.894</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20:00-20:10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全天购电量</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59,482.699</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全天购电费/元</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35,126.949</w:t>
            </w:r>
          </w:p>
        </w:tc>
      </w:tr>
    </w:tbl>
    <w:p>
      <w:pPr>
        <w:spacing w:after="40"/>
      </w:pPr>
    </w:p>
    <w:p>
      <w:pPr>
        <w:spacing w:line="360" w:lineRule="auto" w:after="80"/>
        <w:ind w:firstLine="420"/>
        <w:jc w:val="both"/>
      </w:pPr>
      <w:r>
        <w:rPr>
          <w:rFonts w:ascii="Times New Roman" w:hAnsi="Times New Roman" w:eastAsia="宋体"/>
          <w:b w:val="0"/>
          <w:color w:val="000000"/>
          <w:sz w:val="21"/>
        </w:rPr>
        <w:t>10:00和14:00附近光伏处于高出力阶段，优化模型优先消纳光伏并安排储能充电，外网购电为0；16:00和18:00光伏下降而负载仍较高，外网购电分别为445.432 kWh和531.894 kWh。20:00-20:10通过此前低价充电后的储能放电实现零购电。</w:t>
      </w:r>
    </w:p>
    <w:p>
      <w:pPr>
        <w:pStyle w:val="Heading2"/>
        <w:keepNext/>
        <w:spacing w:before="120" w:after="100"/>
      </w:pPr>
      <w:r>
        <w:rPr>
          <w:rFonts w:ascii="Times New Roman" w:hAnsi="Times New Roman" w:eastAsia="黑体"/>
          <w:b/>
          <w:color w:val="000000"/>
          <w:sz w:val="25"/>
        </w:rPr>
        <w:t>6.2 储能充放电结果</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024"/>
            <w:shd w:fill="D9EAF7"/>
            <w:vAlign w:val="center"/>
          </w:tcPr>
          <w:p>
            <w:pPr>
              <w:keepNext/>
              <w:jc w:val="center"/>
            </w:pPr>
            <w:r>
              <w:rPr>
                <w:rFonts w:ascii="Times New Roman" w:hAnsi="Times New Roman" w:eastAsia="黑体"/>
                <w:b/>
                <w:color w:val="000000"/>
                <w:sz w:val="19"/>
              </w:rPr>
              <w:t>时间段</w:t>
            </w:r>
          </w:p>
        </w:tc>
        <w:tc>
          <w:tcPr>
            <w:tcW w:type="dxa" w:w="3168"/>
            <w:shd w:fill="D9EAF7"/>
            <w:vAlign w:val="center"/>
          </w:tcPr>
          <w:p>
            <w:pPr>
              <w:keepNext/>
              <w:jc w:val="center"/>
            </w:pPr>
            <w:r>
              <w:rPr>
                <w:rFonts w:ascii="Times New Roman" w:hAnsi="Times New Roman" w:eastAsia="黑体"/>
                <w:b/>
                <w:color w:val="000000"/>
                <w:sz w:val="19"/>
              </w:rPr>
              <w:t>充电量/kWh</w:t>
            </w:r>
          </w:p>
        </w:tc>
        <w:tc>
          <w:tcPr>
            <w:tcW w:type="dxa" w:w="3168"/>
            <w:shd w:fill="D9EAF7"/>
            <w:vAlign w:val="center"/>
          </w:tcPr>
          <w:p>
            <w:pPr>
              <w:keepNext/>
              <w:jc w:val="center"/>
            </w:pPr>
            <w:r>
              <w:rPr>
                <w:rFonts w:ascii="Times New Roman" w:hAnsi="Times New Roman" w:eastAsia="黑体"/>
                <w:b/>
                <w:color w:val="000000"/>
                <w:sz w:val="19"/>
              </w:rPr>
              <w:t>放电量/kWh</w:t>
            </w:r>
          </w:p>
        </w:tc>
      </w:tr>
      <w:tr>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0:00-4:00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4,500.000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r>
      <w:tr>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4:00-8:00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833.333</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6,365.841</w:t>
            </w:r>
          </w:p>
        </w:tc>
      </w:tr>
      <w:tr>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8:00-12:00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4,787.964</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1,702.997</w:t>
            </w:r>
          </w:p>
        </w:tc>
      </w:tr>
      <w:tr>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12:00-16:00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5,286.035</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91.101</w:t>
            </w:r>
          </w:p>
        </w:tc>
      </w:tr>
      <w:tr>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16:00-20:00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5,780.132</w:t>
            </w:r>
          </w:p>
        </w:tc>
      </w:tr>
      <w:tr>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20:00-24:00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5,333.333</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2,859.868</w:t>
            </w:r>
          </w:p>
        </w:tc>
      </w:tr>
      <w:tr>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0:00与24:00 SOC</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6000.000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6000.000</w:t>
            </w:r>
          </w:p>
        </w:tc>
      </w:tr>
    </w:tbl>
    <w:p>
      <w:pPr>
        <w:spacing w:after="40"/>
      </w:pPr>
    </w:p>
    <w:p>
      <w:pPr>
        <w:spacing w:before="80" w:after="40"/>
        <w:jc w:val="center"/>
      </w:pPr>
      <w:r>
        <w:drawing>
          <wp:inline xmlns:a="http://schemas.openxmlformats.org/drawingml/2006/main" xmlns:pic="http://schemas.openxmlformats.org/drawingml/2006/picture">
            <wp:extent cx="5806440" cy="3266123"/>
            <wp:docPr id="3" name="Picture 3"/>
            <wp:cNvGraphicFramePr>
              <a:graphicFrameLocks noChangeAspect="1"/>
            </wp:cNvGraphicFramePr>
            <a:graphic>
              <a:graphicData uri="http://schemas.openxmlformats.org/drawingml/2006/picture">
                <pic:pic>
                  <pic:nvPicPr>
                    <pic:cNvPr id="0" name="problem1_dispatch.png"/>
                    <pic:cNvPicPr/>
                  </pic:nvPicPr>
                  <pic:blipFill>
                    <a:blip r:embed="rId12"/>
                    <a:stretch>
                      <a:fillRect/>
                    </a:stretch>
                  </pic:blipFill>
                  <pic:spPr>
                    <a:xfrm>
                      <a:off x="0" y="0"/>
                      <a:ext cx="5806440" cy="3266123"/>
                    </a:xfrm>
                    <a:prstGeom prst="rect"/>
                  </pic:spPr>
                </pic:pic>
              </a:graphicData>
            </a:graphic>
          </wp:inline>
        </w:drawing>
      </w:r>
    </w:p>
    <w:p>
      <w:pPr>
        <w:keepNext/>
        <w:spacing w:before="100" w:after="80"/>
        <w:jc w:val="center"/>
      </w:pPr>
      <w:r>
        <w:rPr>
          <w:rFonts w:ascii="Times New Roman" w:hAnsi="Times New Roman" w:eastAsia="宋体"/>
          <w:b/>
          <w:color w:val="000000"/>
          <w:sz w:val="21"/>
        </w:rPr>
        <w:t>图2  问题一典型日功率调度与储能SOC</w:t>
      </w:r>
    </w:p>
    <w:p>
      <w:pPr>
        <w:spacing w:line="360" w:lineRule="auto" w:after="80"/>
        <w:ind w:firstLine="420"/>
        <w:jc w:val="both"/>
      </w:pPr>
      <w:r>
        <w:rPr>
          <w:rFonts w:ascii="Times New Roman" w:hAnsi="Times New Roman" w:eastAsia="宋体"/>
          <w:b w:val="0"/>
          <w:color w:val="000000"/>
          <w:sz w:val="21"/>
        </w:rPr>
        <w:t>图2显示模型在0:00-4:00低价时段集中充电，在清晨和傍晚负载高、光伏弱或电价高时放电；午间利用富余光伏把SOC补至上界。SOC全程处于1200-10800 kWh，且24:00回到6000 kWh。</w:t>
      </w:r>
    </w:p>
    <w:p>
      <w:pPr>
        <w:pStyle w:val="Heading2"/>
        <w:keepNext/>
        <w:spacing w:before="120" w:after="100"/>
      </w:pPr>
      <w:r>
        <w:rPr>
          <w:rFonts w:ascii="Times New Roman" w:hAnsi="Times New Roman" w:eastAsia="黑体"/>
          <w:b/>
          <w:color w:val="000000"/>
          <w:sz w:val="25"/>
        </w:rPr>
        <w:t>6.3 基准对比与效率敏感性</w:t>
      </w:r>
    </w:p>
    <w:p>
      <w:pPr>
        <w:spacing w:line="360" w:lineRule="auto" w:after="80"/>
        <w:ind w:firstLine="420"/>
        <w:jc w:val="both"/>
      </w:pPr>
      <w:r>
        <w:rPr>
          <w:rFonts w:ascii="Times New Roman" w:hAnsi="Times New Roman" w:eastAsia="宋体"/>
          <w:b w:val="0"/>
          <w:color w:val="000000"/>
          <w:sz w:val="21"/>
        </w:rPr>
        <w:t>若不使用储能，仅以外网购电补足净负载，则全天购电量为61,789.935 kWh、购电费为48,052.047元。最优储能调度使费用减少12,925.098元，降幅为26.90%。</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440"/>
            <w:shd w:fill="D9EAF7"/>
            <w:vAlign w:val="center"/>
          </w:tcPr>
          <w:p>
            <w:pPr>
              <w:keepNext/>
              <w:jc w:val="center"/>
            </w:pPr>
            <w:r>
              <w:rPr>
                <w:rFonts w:ascii="Times New Roman" w:hAnsi="Times New Roman" w:eastAsia="黑体"/>
                <w:b/>
                <w:color w:val="000000"/>
                <w:sz w:val="17"/>
              </w:rPr>
              <w:t>单向效率η</w:t>
            </w:r>
          </w:p>
        </w:tc>
        <w:tc>
          <w:tcPr>
            <w:tcW w:type="dxa" w:w="2016"/>
            <w:shd w:fill="D9EAF7"/>
            <w:vAlign w:val="center"/>
          </w:tcPr>
          <w:p>
            <w:pPr>
              <w:keepNext/>
              <w:jc w:val="center"/>
            </w:pPr>
            <w:r>
              <w:rPr>
                <w:rFonts w:ascii="Times New Roman" w:hAnsi="Times New Roman" w:eastAsia="黑体"/>
                <w:b/>
                <w:color w:val="000000"/>
                <w:sz w:val="17"/>
              </w:rPr>
              <w:t>购电量/kWh</w:t>
            </w:r>
          </w:p>
        </w:tc>
        <w:tc>
          <w:tcPr>
            <w:tcW w:type="dxa" w:w="1944"/>
            <w:shd w:fill="D9EAF7"/>
            <w:vAlign w:val="center"/>
          </w:tcPr>
          <w:p>
            <w:pPr>
              <w:keepNext/>
              <w:jc w:val="center"/>
            </w:pPr>
            <w:r>
              <w:rPr>
                <w:rFonts w:ascii="Times New Roman" w:hAnsi="Times New Roman" w:eastAsia="黑体"/>
                <w:b/>
                <w:color w:val="000000"/>
                <w:sz w:val="17"/>
              </w:rPr>
              <w:t>购电费/元</w:t>
            </w:r>
          </w:p>
        </w:tc>
        <w:tc>
          <w:tcPr>
            <w:tcW w:type="dxa" w:w="2016"/>
            <w:shd w:fill="D9EAF7"/>
            <w:vAlign w:val="center"/>
          </w:tcPr>
          <w:p>
            <w:pPr>
              <w:keepNext/>
              <w:jc w:val="center"/>
            </w:pPr>
            <w:r>
              <w:rPr>
                <w:rFonts w:ascii="Times New Roman" w:hAnsi="Times New Roman" w:eastAsia="黑体"/>
                <w:b/>
                <w:color w:val="000000"/>
                <w:sz w:val="17"/>
              </w:rPr>
              <w:t>总充电量/kWh</w:t>
            </w:r>
          </w:p>
        </w:tc>
        <w:tc>
          <w:tcPr>
            <w:tcW w:type="dxa" w:w="1944"/>
            <w:shd w:fill="D9EAF7"/>
            <w:vAlign w:val="center"/>
          </w:tcPr>
          <w:p>
            <w:pPr>
              <w:keepNext/>
              <w:jc w:val="center"/>
            </w:pPr>
            <w:r>
              <w:rPr>
                <w:rFonts w:ascii="Times New Roman" w:hAnsi="Times New Roman" w:eastAsia="黑体"/>
                <w:b/>
                <w:color w:val="000000"/>
                <w:sz w:val="17"/>
              </w:rPr>
              <w:t>总放电量/kWh</w:t>
            </w:r>
          </w:p>
        </w:tc>
      </w:tr>
      <w:tr>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0.85</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61,728.975</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36,603.406</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22,295.505</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16,108.503</w:t>
            </w:r>
          </w:p>
        </w:tc>
      </w:tr>
      <w:tr>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0.90</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59,482.699</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35,126.949</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20,740.666</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16,799.940</w:t>
            </w:r>
          </w:p>
        </w:tc>
      </w:tr>
      <w:tr>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0.95</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57,472.643</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33,767.033</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19,801.750</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17,871.080</w:t>
            </w:r>
          </w:p>
        </w:tc>
      </w:tr>
    </w:tbl>
    <w:p>
      <w:pPr>
        <w:spacing w:after="40"/>
      </w:pPr>
    </w:p>
    <w:p>
      <w:pPr>
        <w:spacing w:line="360" w:lineRule="auto" w:after="80"/>
        <w:ind w:firstLine="420"/>
        <w:jc w:val="both"/>
      </w:pPr>
      <w:r>
        <w:rPr>
          <w:rFonts w:ascii="Times New Roman" w:hAnsi="Times New Roman" w:eastAsia="宋体"/>
          <w:b w:val="0"/>
          <w:color w:val="000000"/>
          <w:sz w:val="21"/>
        </w:rPr>
        <w:t>当单向效率从0.85提高到0.95时，购电费由36603.406元下降到33767.033元，变化方向符合能量损耗规律；η=0.90附近结果平滑，没有出现调度结构突变，说明基准方案对小幅效率扰动具有稳定性。</w:t>
      </w:r>
    </w:p>
    <w:p>
      <w:pPr>
        <w:pStyle w:val="Heading2"/>
        <w:keepNext/>
        <w:spacing w:before="120" w:after="100"/>
      </w:pPr>
      <w:r>
        <w:rPr>
          <w:rFonts w:ascii="Times New Roman" w:hAnsi="Times New Roman" w:eastAsia="黑体"/>
          <w:b/>
          <w:color w:val="000000"/>
          <w:sz w:val="25"/>
        </w:rPr>
        <w:t>6.4 价格分段与储能作用</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520"/>
            <w:shd w:fill="D9EAF7"/>
            <w:vAlign w:val="center"/>
          </w:tcPr>
          <w:p>
            <w:pPr>
              <w:keepNext/>
              <w:jc w:val="center"/>
            </w:pPr>
            <w:r>
              <w:rPr>
                <w:rFonts w:ascii="Times New Roman" w:hAnsi="Times New Roman" w:eastAsia="黑体"/>
                <w:b/>
                <w:color w:val="000000"/>
                <w:sz w:val="17"/>
              </w:rPr>
              <w:t>指标</w:t>
            </w:r>
          </w:p>
        </w:tc>
        <w:tc>
          <w:tcPr>
            <w:tcW w:type="dxa" w:w="2016"/>
            <w:shd w:fill="D9EAF7"/>
            <w:vAlign w:val="center"/>
          </w:tcPr>
          <w:p>
            <w:pPr>
              <w:keepNext/>
              <w:jc w:val="center"/>
            </w:pPr>
            <w:r>
              <w:rPr>
                <w:rFonts w:ascii="Times New Roman" w:hAnsi="Times New Roman" w:eastAsia="黑体"/>
                <w:b/>
                <w:color w:val="000000"/>
                <w:sz w:val="17"/>
              </w:rPr>
              <w:t>电量/kWh</w:t>
            </w:r>
          </w:p>
        </w:tc>
        <w:tc>
          <w:tcPr>
            <w:tcW w:type="dxa" w:w="4824"/>
            <w:shd w:fill="D9EAF7"/>
            <w:vAlign w:val="center"/>
          </w:tcPr>
          <w:p>
            <w:pPr>
              <w:keepNext/>
              <w:jc w:val="center"/>
            </w:pPr>
            <w:r>
              <w:rPr>
                <w:rFonts w:ascii="Times New Roman" w:hAnsi="Times New Roman" w:eastAsia="黑体"/>
                <w:b/>
                <w:color w:val="000000"/>
                <w:sz w:val="17"/>
              </w:rPr>
              <w:t>解释</w:t>
            </w:r>
          </w:p>
        </w:tc>
      </w:tr>
      <w:tr>
        <w:tc>
          <w:tcPr>
            <w:tcW w:type="dxa" w:w="2520"/>
            <w:vAlign w:val="center"/>
            <w:tcMar>
              <w:top w:w="80" w:type="dxa"/>
              <w:start w:w="90" w:type="dxa"/>
              <w:bottom w:w="80" w:type="dxa"/>
              <w:end w:w="90" w:type="dxa"/>
            </w:tcMar>
          </w:tcPr>
          <w:p>
            <w:pPr>
              <w:jc w:val="center"/>
            </w:pPr>
            <w:r>
              <w:rPr>
                <w:rFonts w:ascii="Times New Roman" w:hAnsi="Times New Roman" w:eastAsia="宋体"/>
                <w:b w:val="0"/>
                <w:color w:val="000000"/>
                <w:sz w:val="17"/>
              </w:rPr>
              <w:t>低价区间外网购电</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38,289.897</w:t>
            </w:r>
          </w:p>
        </w:tc>
        <w:tc>
          <w:tcPr>
            <w:tcW w:type="dxa" w:w="4824"/>
            <w:vAlign w:val="center"/>
            <w:tcMar>
              <w:top w:w="80" w:type="dxa"/>
              <w:start w:w="90" w:type="dxa"/>
              <w:bottom w:w="80" w:type="dxa"/>
              <w:end w:w="90" w:type="dxa"/>
            </w:tcMar>
          </w:tcPr>
          <w:p>
            <w:pPr>
              <w:jc w:val="center"/>
            </w:pPr>
            <w:r>
              <w:rPr>
                <w:rFonts w:ascii="Times New Roman" w:hAnsi="Times New Roman" w:eastAsia="宋体"/>
                <w:b w:val="0"/>
                <w:color w:val="000000"/>
                <w:sz w:val="17"/>
              </w:rPr>
              <w:t>低价购电除供负载外还用于储能充电</w:t>
            </w:r>
          </w:p>
        </w:tc>
      </w:tr>
      <w:tr>
        <w:tc>
          <w:tcPr>
            <w:tcW w:type="dxa" w:w="252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高价区间外网购电</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9,926.538</w:t>
            </w:r>
          </w:p>
        </w:tc>
        <w:tc>
          <w:tcPr>
            <w:tcW w:type="dxa" w:w="48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高价时段由光伏和储能优先替代</w:t>
            </w:r>
          </w:p>
        </w:tc>
      </w:tr>
      <w:tr>
        <w:tc>
          <w:tcPr>
            <w:tcW w:type="dxa" w:w="2520"/>
            <w:vAlign w:val="center"/>
            <w:tcMar>
              <w:top w:w="80" w:type="dxa"/>
              <w:start w:w="90" w:type="dxa"/>
              <w:bottom w:w="80" w:type="dxa"/>
              <w:end w:w="90" w:type="dxa"/>
            </w:tcMar>
          </w:tcPr>
          <w:p>
            <w:pPr>
              <w:jc w:val="center"/>
            </w:pPr>
            <w:r>
              <w:rPr>
                <w:rFonts w:ascii="Times New Roman" w:hAnsi="Times New Roman" w:eastAsia="宋体"/>
                <w:b w:val="0"/>
                <w:color w:val="000000"/>
                <w:sz w:val="17"/>
              </w:rPr>
              <w:t>低价区间储能充电</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12,333.333</w:t>
            </w:r>
          </w:p>
        </w:tc>
        <w:tc>
          <w:tcPr>
            <w:tcW w:type="dxa" w:w="4824"/>
            <w:vAlign w:val="center"/>
            <w:tcMar>
              <w:top w:w="80" w:type="dxa"/>
              <w:start w:w="90" w:type="dxa"/>
              <w:bottom w:w="80" w:type="dxa"/>
              <w:end w:w="90" w:type="dxa"/>
            </w:tcMar>
          </w:tcPr>
          <w:p>
            <w:pPr>
              <w:jc w:val="center"/>
            </w:pPr>
            <w:r>
              <w:rPr>
                <w:rFonts w:ascii="Times New Roman" w:hAnsi="Times New Roman" w:eastAsia="宋体"/>
                <w:b w:val="0"/>
                <w:color w:val="000000"/>
                <w:sz w:val="17"/>
              </w:rPr>
              <w:t>形成跨时段能量转移</w:t>
            </w:r>
          </w:p>
        </w:tc>
      </w:tr>
      <w:tr>
        <w:tc>
          <w:tcPr>
            <w:tcW w:type="dxa" w:w="252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高价区间储能放电</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10,852.520</w:t>
            </w:r>
          </w:p>
        </w:tc>
        <w:tc>
          <w:tcPr>
            <w:tcW w:type="dxa" w:w="48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降低峰时外网购电</w:t>
            </w:r>
          </w:p>
        </w:tc>
      </w:tr>
    </w:tbl>
    <w:p>
      <w:pPr>
        <w:spacing w:after="40"/>
      </w:pPr>
    </w:p>
    <w:p>
      <w:pPr>
        <w:spacing w:line="360" w:lineRule="auto" w:after="80"/>
        <w:ind w:firstLine="420"/>
        <w:jc w:val="both"/>
      </w:pPr>
      <w:r>
        <w:rPr>
          <w:rFonts w:ascii="Times New Roman" w:hAnsi="Times New Roman" w:eastAsia="宋体"/>
          <w:b w:val="0"/>
          <w:color w:val="000000"/>
          <w:sz w:val="21"/>
        </w:rPr>
        <w:t>储能是否值得充电取决于跨时段价差能否覆盖往返损耗。若低价为πl、高价为πh，从低价时段购入1 kWh并经储能转移后只能向高价时段交付η² kWh，因此纯电价套利的必要条件近似为πhη²&gt;πl。η=0.90时，高低价比需超过1/0.81≈1.235。光伏充电的机会成本更低，所以午间富余光伏即使存在损耗也常被优先存储。</w:t>
      </w:r>
    </w:p>
    <w:p>
      <w:pPr>
        <w:pStyle w:val="Heading2"/>
        <w:keepNext/>
        <w:spacing w:before="120" w:after="100"/>
      </w:pPr>
      <w:r>
        <w:rPr>
          <w:rFonts w:ascii="Times New Roman" w:hAnsi="Times New Roman" w:eastAsia="黑体"/>
          <w:b/>
          <w:color w:val="000000"/>
          <w:sz w:val="25"/>
        </w:rPr>
        <w:t>6.5 容量上限敏感性</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728"/>
            <w:shd w:fill="D9EAF7"/>
            <w:vAlign w:val="center"/>
          </w:tcPr>
          <w:p>
            <w:pPr>
              <w:keepNext/>
              <w:jc w:val="center"/>
            </w:pPr>
            <w:r>
              <w:rPr>
                <w:rFonts w:ascii="Times New Roman" w:hAnsi="Times New Roman" w:eastAsia="黑体"/>
                <w:b/>
                <w:color w:val="000000"/>
                <w:sz w:val="17"/>
              </w:rPr>
              <w:t>SOC上限/kWh</w:t>
            </w:r>
          </w:p>
        </w:tc>
        <w:tc>
          <w:tcPr>
            <w:tcW w:type="dxa" w:w="1944"/>
            <w:shd w:fill="D9EAF7"/>
            <w:vAlign w:val="center"/>
          </w:tcPr>
          <w:p>
            <w:pPr>
              <w:keepNext/>
              <w:jc w:val="center"/>
            </w:pPr>
            <w:r>
              <w:rPr>
                <w:rFonts w:ascii="Times New Roman" w:hAnsi="Times New Roman" w:eastAsia="黑体"/>
                <w:b/>
                <w:color w:val="000000"/>
                <w:sz w:val="17"/>
              </w:rPr>
              <w:t>购电量/kWh</w:t>
            </w:r>
          </w:p>
        </w:tc>
        <w:tc>
          <w:tcPr>
            <w:tcW w:type="dxa" w:w="1944"/>
            <w:shd w:fill="D9EAF7"/>
            <w:vAlign w:val="center"/>
          </w:tcPr>
          <w:p>
            <w:pPr>
              <w:keepNext/>
              <w:jc w:val="center"/>
            </w:pPr>
            <w:r>
              <w:rPr>
                <w:rFonts w:ascii="Times New Roman" w:hAnsi="Times New Roman" w:eastAsia="黑体"/>
                <w:b/>
                <w:color w:val="000000"/>
                <w:sz w:val="17"/>
              </w:rPr>
              <w:t>购电费/元</w:t>
            </w:r>
          </w:p>
        </w:tc>
        <w:tc>
          <w:tcPr>
            <w:tcW w:type="dxa" w:w="1944"/>
            <w:shd w:fill="D9EAF7"/>
            <w:vAlign w:val="center"/>
          </w:tcPr>
          <w:p>
            <w:pPr>
              <w:keepNext/>
              <w:jc w:val="center"/>
            </w:pPr>
            <w:r>
              <w:rPr>
                <w:rFonts w:ascii="Times New Roman" w:hAnsi="Times New Roman" w:eastAsia="黑体"/>
                <w:b/>
                <w:color w:val="000000"/>
                <w:sz w:val="17"/>
              </w:rPr>
              <w:t>充电量/kWh</w:t>
            </w:r>
          </w:p>
        </w:tc>
        <w:tc>
          <w:tcPr>
            <w:tcW w:type="dxa" w:w="1800"/>
            <w:shd w:fill="D9EAF7"/>
            <w:vAlign w:val="center"/>
          </w:tcPr>
          <w:p>
            <w:pPr>
              <w:keepNext/>
              <w:jc w:val="center"/>
            </w:pPr>
            <w:r>
              <w:rPr>
                <w:rFonts w:ascii="Times New Roman" w:hAnsi="Times New Roman" w:eastAsia="黑体"/>
                <w:b/>
                <w:color w:val="000000"/>
                <w:sz w:val="17"/>
              </w:rPr>
              <w:t>放电量/kWh</w:t>
            </w:r>
          </w:p>
        </w:tc>
      </w:tr>
      <w:tr>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7"/>
              </w:rPr>
              <w:t>7200</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58,127.464</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38,372.645</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13,607.850</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7"/>
              </w:rPr>
              <w:t>11,022.359</w:t>
            </w:r>
          </w:p>
        </w:tc>
      </w:tr>
      <w:tr>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9000</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58,856.675</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36,586.244</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17,445.804</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14,131.101</w:t>
            </w:r>
          </w:p>
        </w:tc>
      </w:tr>
      <w:tr>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7"/>
              </w:rPr>
              <w:t>10800</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59,482.699</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35,126.949</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20,740.666</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7"/>
              </w:rPr>
              <w:t>16,799.940</w:t>
            </w:r>
          </w:p>
        </w:tc>
      </w:tr>
    </w:tbl>
    <w:p>
      <w:pPr>
        <w:spacing w:after="40"/>
      </w:pPr>
    </w:p>
    <w:p>
      <w:pPr>
        <w:spacing w:line="360" w:lineRule="auto" w:after="80"/>
        <w:ind w:firstLine="420"/>
        <w:jc w:val="both"/>
      </w:pPr>
      <w:r>
        <w:rPr>
          <w:rFonts w:ascii="Times New Roman" w:hAnsi="Times New Roman" w:eastAsia="宋体"/>
          <w:b w:val="0"/>
          <w:color w:val="000000"/>
          <w:sz w:val="21"/>
        </w:rPr>
        <w:t>当SOC上限由7200 kWh提高到10800 kWh时，购电费由38372.645元降至35126.949元。容量增大同时使总购电量上升，这是储能损耗造成的正常现象：模型多购入低价电并承担损耗，以替代更少但更昂贵的高价电。因此评价储能调度不能只比较购电量，还必须同时比较费用与电价分布。</w:t>
      </w:r>
    </w:p>
    <w:p>
      <w:pPr>
        <w:pStyle w:val="Heading2"/>
        <w:keepNext/>
        <w:spacing w:before="120" w:after="100"/>
      </w:pPr>
      <w:r>
        <w:rPr>
          <w:rFonts w:ascii="Times New Roman" w:hAnsi="Times New Roman" w:eastAsia="黑体"/>
          <w:b/>
          <w:color w:val="000000"/>
          <w:sz w:val="25"/>
        </w:rPr>
        <w:t>6.6 功率上限敏感性</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728"/>
            <w:shd w:fill="D9EAF7"/>
            <w:vAlign w:val="center"/>
          </w:tcPr>
          <w:p>
            <w:pPr>
              <w:keepNext/>
              <w:jc w:val="center"/>
            </w:pPr>
            <w:r>
              <w:rPr>
                <w:rFonts w:ascii="Times New Roman" w:hAnsi="Times New Roman" w:eastAsia="黑体"/>
                <w:b/>
                <w:color w:val="000000"/>
                <w:sz w:val="17"/>
              </w:rPr>
              <w:t>功率上限/kW</w:t>
            </w:r>
          </w:p>
        </w:tc>
        <w:tc>
          <w:tcPr>
            <w:tcW w:type="dxa" w:w="1944"/>
            <w:shd w:fill="D9EAF7"/>
            <w:vAlign w:val="center"/>
          </w:tcPr>
          <w:p>
            <w:pPr>
              <w:keepNext/>
              <w:jc w:val="center"/>
            </w:pPr>
            <w:r>
              <w:rPr>
                <w:rFonts w:ascii="Times New Roman" w:hAnsi="Times New Roman" w:eastAsia="黑体"/>
                <w:b/>
                <w:color w:val="000000"/>
                <w:sz w:val="17"/>
              </w:rPr>
              <w:t>购电量/kWh</w:t>
            </w:r>
          </w:p>
        </w:tc>
        <w:tc>
          <w:tcPr>
            <w:tcW w:type="dxa" w:w="1944"/>
            <w:shd w:fill="D9EAF7"/>
            <w:vAlign w:val="center"/>
          </w:tcPr>
          <w:p>
            <w:pPr>
              <w:keepNext/>
              <w:jc w:val="center"/>
            </w:pPr>
            <w:r>
              <w:rPr>
                <w:rFonts w:ascii="Times New Roman" w:hAnsi="Times New Roman" w:eastAsia="黑体"/>
                <w:b/>
                <w:color w:val="000000"/>
                <w:sz w:val="17"/>
              </w:rPr>
              <w:t>购电费/元</w:t>
            </w:r>
          </w:p>
        </w:tc>
        <w:tc>
          <w:tcPr>
            <w:tcW w:type="dxa" w:w="1944"/>
            <w:shd w:fill="D9EAF7"/>
            <w:vAlign w:val="center"/>
          </w:tcPr>
          <w:p>
            <w:pPr>
              <w:keepNext/>
              <w:jc w:val="center"/>
            </w:pPr>
            <w:r>
              <w:rPr>
                <w:rFonts w:ascii="Times New Roman" w:hAnsi="Times New Roman" w:eastAsia="黑体"/>
                <w:b/>
                <w:color w:val="000000"/>
                <w:sz w:val="17"/>
              </w:rPr>
              <w:t>充电量/kWh</w:t>
            </w:r>
          </w:p>
        </w:tc>
        <w:tc>
          <w:tcPr>
            <w:tcW w:type="dxa" w:w="1800"/>
            <w:shd w:fill="D9EAF7"/>
            <w:vAlign w:val="center"/>
          </w:tcPr>
          <w:p>
            <w:pPr>
              <w:keepNext/>
              <w:jc w:val="center"/>
            </w:pPr>
            <w:r>
              <w:rPr>
                <w:rFonts w:ascii="Times New Roman" w:hAnsi="Times New Roman" w:eastAsia="黑体"/>
                <w:b/>
                <w:color w:val="000000"/>
                <w:sz w:val="17"/>
              </w:rPr>
              <w:t>放电量/kWh</w:t>
            </w:r>
          </w:p>
        </w:tc>
      </w:tr>
      <w:tr>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7"/>
              </w:rPr>
              <w:t>2000</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58,706.295</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37,585.752</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16,333.241</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7"/>
              </w:rPr>
              <w:t>13,229.925</w:t>
            </w:r>
          </w:p>
        </w:tc>
      </w:tr>
      <w:tr>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3500</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59,369.708</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35,471.512</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20,145.977</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16,318.242</w:t>
            </w:r>
          </w:p>
        </w:tc>
      </w:tr>
      <w:tr>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7"/>
              </w:rPr>
              <w:t>5000</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59,482.699</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35,126.949</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20,740.666</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7"/>
              </w:rPr>
              <w:t>16,799.940</w:t>
            </w:r>
          </w:p>
        </w:tc>
      </w:tr>
    </w:tbl>
    <w:p>
      <w:pPr>
        <w:spacing w:after="40"/>
      </w:pPr>
    </w:p>
    <w:p>
      <w:pPr>
        <w:spacing w:before="80" w:after="40"/>
        <w:jc w:val="center"/>
      </w:pPr>
      <w:r>
        <w:drawing>
          <wp:inline xmlns:a="http://schemas.openxmlformats.org/drawingml/2006/main" xmlns:pic="http://schemas.openxmlformats.org/drawingml/2006/picture">
            <wp:extent cx="5806440" cy="2612898"/>
            <wp:docPr id="4" name="Picture 4"/>
            <wp:cNvGraphicFramePr>
              <a:graphicFrameLocks noChangeAspect="1"/>
            </wp:cNvGraphicFramePr>
            <a:graphic>
              <a:graphicData uri="http://schemas.openxmlformats.org/drawingml/2006/picture">
                <pic:pic>
                  <pic:nvPicPr>
                    <pic:cNvPr id="0" name="sensitivity.png"/>
                    <pic:cNvPicPr/>
                  </pic:nvPicPr>
                  <pic:blipFill>
                    <a:blip r:embed="rId13"/>
                    <a:stretch>
                      <a:fillRect/>
                    </a:stretch>
                  </pic:blipFill>
                  <pic:spPr>
                    <a:xfrm>
                      <a:off x="0" y="0"/>
                      <a:ext cx="5806440" cy="2612898"/>
                    </a:xfrm>
                    <a:prstGeom prst="rect"/>
                  </pic:spPr>
                </pic:pic>
              </a:graphicData>
            </a:graphic>
          </wp:inline>
        </w:drawing>
      </w:r>
    </w:p>
    <w:p>
      <w:pPr>
        <w:keepNext/>
        <w:spacing w:before="100" w:after="80"/>
        <w:jc w:val="center"/>
      </w:pPr>
      <w:r>
        <w:rPr>
          <w:rFonts w:ascii="Times New Roman" w:hAnsi="Times New Roman" w:eastAsia="宋体"/>
          <w:b/>
          <w:color w:val="000000"/>
          <w:sz w:val="21"/>
        </w:rPr>
        <w:t>图5  问题一储能容量与功率敏感性</w:t>
      </w:r>
    </w:p>
    <w:p>
      <w:pPr>
        <w:spacing w:line="360" w:lineRule="auto" w:after="80"/>
        <w:ind w:firstLine="420"/>
        <w:jc w:val="both"/>
      </w:pPr>
      <w:r>
        <w:rPr>
          <w:rFonts w:ascii="Times New Roman" w:hAnsi="Times New Roman" w:eastAsia="宋体"/>
          <w:b w:val="0"/>
          <w:color w:val="000000"/>
          <w:sz w:val="21"/>
        </w:rPr>
        <w:t>功率上限由2000 kW提高到3500 kW时，费用下降2114.240元；进一步提高到5000 kW只再下降344.564元。这说明基准方案已接近边际收益递减区间。容量曲线仍保持明显下降，而功率曲线逐渐变平，在扩容决策中应优先评估增加可用容量，而不是只提高变流器额定功率。该结论仅基于题目给定典型日，实际投资还需计入设备成本和循环寿命。</w:t>
      </w:r>
    </w:p>
    <w:p>
      <w:pPr>
        <w:pStyle w:val="Heading2"/>
        <w:keepNext/>
        <w:spacing w:before="120" w:after="100"/>
      </w:pPr>
      <w:r>
        <w:rPr>
          <w:rFonts w:ascii="Times New Roman" w:hAnsi="Times New Roman" w:eastAsia="黑体"/>
          <w:b/>
          <w:color w:val="000000"/>
          <w:sz w:val="25"/>
        </w:rPr>
        <w:t>6.7 典型日能量守恒解释</w:t>
      </w:r>
    </w:p>
    <w:p>
      <w:pPr>
        <w:spacing w:line="360" w:lineRule="auto" w:after="80"/>
        <w:ind w:firstLine="420"/>
        <w:jc w:val="both"/>
      </w:pPr>
      <w:r>
        <w:rPr>
          <w:rFonts w:ascii="Times New Roman" w:hAnsi="Times New Roman" w:eastAsia="宋体"/>
          <w:b w:val="0"/>
          <w:color w:val="000000"/>
          <w:sz w:val="21"/>
        </w:rPr>
        <w:t>问题一总充电量为20,740.666 kWh，总放电量为16,799.940 kWh，交流侧两者相差3,940.727 kWh。由于首尾SOC相同，储能内部满足ηΣC=ΣD/η，即ΣD=η²ΣC。按η²=0.81计算得到的放电量与优化结果一致，差异仅来自数值求解容差。这一关系也解释了为何储能能够降低费用但通常增加总购电量。</w:t>
      </w:r>
    </w:p>
    <w:p>
      <w:pPr>
        <w:pStyle w:val="Heading1"/>
        <w:keepNext/>
        <w:spacing w:before="200" w:after="100"/>
      </w:pPr>
      <w:r>
        <w:rPr>
          <w:rFonts w:ascii="Times New Roman" w:hAnsi="Times New Roman" w:eastAsia="黑体"/>
          <w:b/>
          <w:color w:val="000000"/>
          <w:sz w:val="30"/>
        </w:rPr>
        <w:t>7  问题二含紧急购电的年度优化</w:t>
      </w:r>
    </w:p>
    <w:p>
      <w:pPr>
        <w:pStyle w:val="Heading2"/>
        <w:keepNext/>
        <w:spacing w:before="120" w:after="100"/>
      </w:pPr>
      <w:r>
        <w:rPr>
          <w:rFonts w:ascii="Times New Roman" w:hAnsi="Times New Roman" w:eastAsia="黑体"/>
          <w:b/>
          <w:color w:val="000000"/>
          <w:sz w:val="25"/>
        </w:rPr>
        <w:t>7.1 模型调整</w:t>
      </w:r>
    </w:p>
    <w:p>
      <w:pPr>
        <w:spacing w:line="360" w:lineRule="auto" w:after="80"/>
        <w:ind w:firstLine="420"/>
        <w:jc w:val="both"/>
      </w:pPr>
      <w:r>
        <w:rPr>
          <w:rFonts w:ascii="Times New Roman" w:hAnsi="Times New Roman" w:eastAsia="宋体"/>
          <w:b w:val="0"/>
          <w:color w:val="000000"/>
          <w:sz w:val="21"/>
        </w:rPr>
        <w:t>问题二沿用第5节的负载平衡、光伏消纳和储能约束。根据题目给定的历史数据，计划阶段直接使用附件2的实际光伏功率进行确定性回算。若计划购电、光伏和储能放电仍不足以满足负载，则引入紧急购电变量E，并以同时段交易电价的5倍计费。</w:t>
      </w:r>
    </w:p>
    <w:p>
      <w:pPr>
        <w:spacing w:before="60" w:after="100"/>
        <w:jc w:val="center"/>
      </w:pPr>
      <m:oMathPara>
        <m:oMath>
          <m:r>
            <m:t>E(d,t)=max{L(d,t)+C(d,t)-G(d,t)-V(d,t)-D(d,t),0}</m:t>
          </m:r>
        </m:oMath>
      </m:oMathPara>
      <w:r>
        <w:rPr>
          <w:rFonts w:ascii="Times New Roman" w:hAnsi="Times New Roman" w:eastAsia="Times New Roman"/>
          <w:b w:val="0"/>
          <w:color w:val="000000"/>
          <w:sz w:val="21"/>
        </w:rPr>
        <w:t xml:space="preserve">    (10)</w:t>
      </w:r>
    </w:p>
    <w:p>
      <w:pPr>
        <w:spacing w:line="360" w:lineRule="auto" w:after="80"/>
        <w:ind w:firstLine="420"/>
        <w:jc w:val="both"/>
      </w:pPr>
      <w:r>
        <w:rPr>
          <w:rFonts w:ascii="Times New Roman" w:hAnsi="Times New Roman" w:eastAsia="宋体"/>
          <w:b w:val="0"/>
          <w:color w:val="000000"/>
          <w:sz w:val="21"/>
        </w:rPr>
        <w:t>由于外网计划购电没有显式容量上限，且正常购电价格始终低于5倍紧急电价，最优模型会在0:00计划中预先补足所有可预见缺口。全年采用一个跨日连续SOC状态链，避免每天独立求解时重复获得免费初始电量。</w:t>
      </w:r>
    </w:p>
    <w:p>
      <w:pPr>
        <w:pStyle w:val="Heading2"/>
        <w:keepNext/>
        <w:spacing w:before="120" w:after="100"/>
      </w:pPr>
      <w:r>
        <w:rPr>
          <w:rFonts w:ascii="Times New Roman" w:hAnsi="Times New Roman" w:eastAsia="黑体"/>
          <w:b/>
          <w:color w:val="000000"/>
          <w:sz w:val="25"/>
        </w:rPr>
        <w:t>7.2 年度结果</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376"/>
            <w:shd w:fill="D9EAF7"/>
            <w:vAlign w:val="center"/>
          </w:tcPr>
          <w:p>
            <w:pPr>
              <w:keepNext/>
              <w:jc w:val="center"/>
            </w:pPr>
            <w:r>
              <w:rPr>
                <w:rFonts w:ascii="Times New Roman" w:hAnsi="Times New Roman" w:eastAsia="黑体"/>
                <w:b/>
                <w:color w:val="000000"/>
                <w:sz w:val="18"/>
              </w:rPr>
              <w:t>指标</w:t>
            </w:r>
          </w:p>
        </w:tc>
        <w:tc>
          <w:tcPr>
            <w:tcW w:type="dxa" w:w="2376"/>
            <w:shd w:fill="D9EAF7"/>
            <w:vAlign w:val="center"/>
          </w:tcPr>
          <w:p>
            <w:pPr>
              <w:keepNext/>
              <w:jc w:val="center"/>
            </w:pPr>
            <w:r>
              <w:rPr>
                <w:rFonts w:ascii="Times New Roman" w:hAnsi="Times New Roman" w:eastAsia="黑体"/>
                <w:b/>
                <w:color w:val="000000"/>
                <w:sz w:val="18"/>
              </w:rPr>
              <w:t>数值</w:t>
            </w:r>
          </w:p>
        </w:tc>
        <w:tc>
          <w:tcPr>
            <w:tcW w:type="dxa" w:w="2376"/>
            <w:shd w:fill="D9EAF7"/>
            <w:vAlign w:val="center"/>
          </w:tcPr>
          <w:p>
            <w:pPr>
              <w:keepNext/>
              <w:jc w:val="center"/>
            </w:pPr>
            <w:r>
              <w:rPr>
                <w:rFonts w:ascii="Times New Roman" w:hAnsi="Times New Roman" w:eastAsia="黑体"/>
                <w:b/>
                <w:color w:val="000000"/>
                <w:sz w:val="18"/>
              </w:rPr>
              <w:t>指标</w:t>
            </w:r>
          </w:p>
        </w:tc>
        <w:tc>
          <w:tcPr>
            <w:tcW w:type="dxa" w:w="2232"/>
            <w:shd w:fill="D9EAF7"/>
            <w:vAlign w:val="center"/>
          </w:tcPr>
          <w:p>
            <w:pPr>
              <w:keepNext/>
              <w:jc w:val="center"/>
            </w:pPr>
            <w:r>
              <w:rPr>
                <w:rFonts w:ascii="Times New Roman" w:hAnsi="Times New Roman" w:eastAsia="黑体"/>
                <w:b/>
                <w:color w:val="000000"/>
                <w:sz w:val="18"/>
              </w:rPr>
              <w:t>数值</w:t>
            </w:r>
          </w:p>
        </w:tc>
      </w:tr>
      <w:tr>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计划购电量/kWh</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20,187,649.131</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紧急购电量/kWh</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8"/>
              </w:rPr>
              <w:t>0.000</w:t>
            </w:r>
          </w:p>
        </w:tc>
      </w:tr>
      <w:tr>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物理购电总量/kWh</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20,187,649.131</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总购电费/元</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12,229,460.726</w:t>
            </w:r>
          </w:p>
        </w:tc>
      </w:tr>
      <w:tr>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储能充电量/kWh</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6,631,823.926</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储能放电量/kWh</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8"/>
              </w:rPr>
              <w:t>5,373,532.380</w:t>
            </w:r>
          </w:p>
        </w:tc>
      </w:tr>
      <w:tr>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光伏消纳量/kWh</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18,078,721.904</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弃光量/kWh</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990,168.090</w:t>
            </w:r>
          </w:p>
        </w:tc>
      </w:tr>
    </w:tbl>
    <w:p>
      <w:pPr>
        <w:spacing w:after="40"/>
      </w:pPr>
    </w:p>
    <w:p>
      <w:pPr>
        <w:spacing w:line="360" w:lineRule="auto" w:after="80"/>
        <w:ind w:firstLine="420"/>
        <w:jc w:val="both"/>
      </w:pPr>
      <w:r>
        <w:rPr>
          <w:rFonts w:ascii="Times New Roman" w:hAnsi="Times New Roman" w:eastAsia="宋体"/>
          <w:b w:val="0"/>
          <w:color w:val="000000"/>
          <w:sz w:val="21"/>
        </w:rPr>
        <w:t>2025年2月1日至12月31日计划购电量为20187649.131 kWh，总费用为12229460.726元。四个指定日期及全年紧急购电量均为0，这不是遗漏，而是确定性已知场景下5倍惩罚使事前正常购电严格优于事后补购的结果。储能往返损耗使充电量高于放电量，两者差额与SOC首尾不变共同满足能量守恒。</w:t>
      </w:r>
    </w:p>
    <w:p>
      <w:pPr>
        <w:pStyle w:val="Heading2"/>
        <w:keepNext/>
        <w:spacing w:before="120" w:after="100"/>
      </w:pPr>
      <w:r>
        <w:rPr>
          <w:rFonts w:ascii="Times New Roman" w:hAnsi="Times New Roman" w:eastAsia="黑体"/>
          <w:b/>
          <w:color w:val="000000"/>
          <w:sz w:val="25"/>
        </w:rPr>
        <w:t>7.3 月度购电费用</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080"/>
            <w:shd w:fill="D9EAF7"/>
            <w:vAlign w:val="center"/>
          </w:tcPr>
          <w:p>
            <w:pPr>
              <w:keepNext/>
              <w:jc w:val="center"/>
            </w:pPr>
            <w:r>
              <w:rPr>
                <w:rFonts w:ascii="Times New Roman" w:hAnsi="Times New Roman" w:eastAsia="黑体"/>
                <w:b/>
                <w:color w:val="000000"/>
                <w:sz w:val="16"/>
              </w:rPr>
              <w:t>月份</w:t>
            </w:r>
          </w:p>
        </w:tc>
        <w:tc>
          <w:tcPr>
            <w:tcW w:type="dxa" w:w="2088"/>
            <w:shd w:fill="D9EAF7"/>
            <w:vAlign w:val="center"/>
          </w:tcPr>
          <w:p>
            <w:pPr>
              <w:keepNext/>
              <w:jc w:val="center"/>
            </w:pPr>
            <w:r>
              <w:rPr>
                <w:rFonts w:ascii="Times New Roman" w:hAnsi="Times New Roman" w:eastAsia="黑体"/>
                <w:b/>
                <w:color w:val="000000"/>
                <w:sz w:val="16"/>
              </w:rPr>
              <w:t>购电量/万kWh</w:t>
            </w:r>
          </w:p>
        </w:tc>
        <w:tc>
          <w:tcPr>
            <w:tcW w:type="dxa" w:w="2016"/>
            <w:shd w:fill="D9EAF7"/>
            <w:vAlign w:val="center"/>
          </w:tcPr>
          <w:p>
            <w:pPr>
              <w:keepNext/>
              <w:jc w:val="center"/>
            </w:pPr>
            <w:r>
              <w:rPr>
                <w:rFonts w:ascii="Times New Roman" w:hAnsi="Times New Roman" w:eastAsia="黑体"/>
                <w:b/>
                <w:color w:val="000000"/>
                <w:sz w:val="16"/>
              </w:rPr>
              <w:t>购电费/万元</w:t>
            </w:r>
          </w:p>
        </w:tc>
        <w:tc>
          <w:tcPr>
            <w:tcW w:type="dxa" w:w="2016"/>
            <w:shd w:fill="D9EAF7"/>
            <w:vAlign w:val="center"/>
          </w:tcPr>
          <w:p>
            <w:pPr>
              <w:keepNext/>
              <w:jc w:val="center"/>
            </w:pPr>
            <w:r>
              <w:rPr>
                <w:rFonts w:ascii="Times New Roman" w:hAnsi="Times New Roman" w:eastAsia="黑体"/>
                <w:b/>
                <w:color w:val="000000"/>
                <w:sz w:val="16"/>
              </w:rPr>
              <w:t>充电量/万kWh</w:t>
            </w:r>
          </w:p>
        </w:tc>
        <w:tc>
          <w:tcPr>
            <w:tcW w:type="dxa" w:w="2016"/>
            <w:shd w:fill="D9EAF7"/>
            <w:vAlign w:val="center"/>
          </w:tcPr>
          <w:p>
            <w:pPr>
              <w:keepNext/>
              <w:jc w:val="center"/>
            </w:pPr>
            <w:r>
              <w:rPr>
                <w:rFonts w:ascii="Times New Roman" w:hAnsi="Times New Roman" w:eastAsia="黑体"/>
                <w:b/>
                <w:color w:val="000000"/>
                <w:sz w:val="16"/>
              </w:rPr>
              <w:t>放电量/万kWh</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2月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185.03</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6"/>
              </w:rPr>
              <w:t>111.42</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6"/>
              </w:rPr>
              <w:t>61.09</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6"/>
              </w:rPr>
              <w:t>49.69</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174.22</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102.57</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62.38</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50.27</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4月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146.34</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6"/>
              </w:rPr>
              <w:t>84.97</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6"/>
              </w:rPr>
              <w:t>55.01</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6"/>
              </w:rPr>
              <w:t>44.61</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145.06</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85.70</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51.97</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42.04</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6月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190.77</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6"/>
              </w:rPr>
              <w:t>116.03</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6"/>
              </w:rPr>
              <w:t>58.89</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6"/>
              </w:rPr>
              <w:t>47.70</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212.14</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131.98</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58.52</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47.98</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8月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186.37</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6"/>
              </w:rPr>
              <w:t>116.39</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6"/>
              </w:rPr>
              <w:t>55.96</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6"/>
              </w:rPr>
              <w:t>44.80</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162.98</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99.19</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57.60</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46.61</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10月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170.84</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6"/>
              </w:rPr>
              <w:t>101.97</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6"/>
              </w:rPr>
              <w:t>62.03</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6"/>
              </w:rPr>
              <w:t>50.48</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194.74</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118.08</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65.58</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52.88</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12月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250.26</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6"/>
              </w:rPr>
              <w:t>154.64</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6"/>
              </w:rPr>
              <w:t>74.15</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6"/>
              </w:rPr>
              <w:t>60.30</w:t>
            </w:r>
          </w:p>
        </w:tc>
      </w:tr>
    </w:tbl>
    <w:p>
      <w:pPr>
        <w:spacing w:after="40"/>
      </w:pPr>
    </w:p>
    <w:p>
      <w:pPr>
        <w:spacing w:line="360" w:lineRule="auto" w:after="80"/>
        <w:ind w:firstLine="420"/>
        <w:jc w:val="both"/>
      </w:pPr>
      <w:r>
        <w:rPr>
          <w:rFonts w:ascii="Times New Roman" w:hAnsi="Times New Roman" w:eastAsia="宋体"/>
          <w:b w:val="0"/>
          <w:color w:val="000000"/>
          <w:sz w:val="21"/>
        </w:rPr>
        <w:t>问题二月度费用最高的是12月，最低的是4月。月度费用同时受天数、负载规模、光伏电量和固定峰谷电价影响，不能直接用月份总购电量除以天数替代。表中每月充放电量之比稳定接近η²=0.81，说明跨日SOC连续约束没有产生隐藏的免费初始电量。</w:t>
      </w:r>
    </w:p>
    <w:p>
      <w:pPr>
        <w:pStyle w:val="Heading2"/>
        <w:keepNext/>
        <w:spacing w:before="120" w:after="100"/>
      </w:pPr>
      <w:r>
        <w:rPr>
          <w:rFonts w:ascii="Times New Roman" w:hAnsi="Times New Roman" w:eastAsia="黑体"/>
          <w:b/>
          <w:color w:val="000000"/>
          <w:sz w:val="25"/>
        </w:rPr>
        <w:t>7.4 紧急购电为零的最优性说明</w:t>
      </w:r>
    </w:p>
    <w:p>
      <w:pPr>
        <w:spacing w:line="360" w:lineRule="auto" w:after="80"/>
        <w:ind w:firstLine="420"/>
        <w:jc w:val="both"/>
      </w:pPr>
      <w:r>
        <w:rPr>
          <w:rFonts w:ascii="Times New Roman" w:hAnsi="Times New Roman" w:eastAsia="宋体"/>
          <w:b w:val="0"/>
          <w:color w:val="000000"/>
          <w:sz w:val="21"/>
        </w:rPr>
        <w:t>在问题二的确定性设定中，0点计划使用的光伏就是当日实际光伏。对任意出现缺口的区间，若增加δ kWh正常购电，费用增加πδ；若保留缺口并在运行时紧急购电，费用增加5πδ。由于π≥0且外网正常购电无容量上限，把紧急购电替换为等量正常购电总能使费用不增，并在π&gt;0时严格降低费用。因此最优解必有E(d,t)=0。</w:t>
      </w:r>
    </w:p>
    <w:p>
      <w:pPr>
        <w:spacing w:line="360" w:lineRule="auto" w:after="80"/>
        <w:ind w:firstLine="420"/>
        <w:jc w:val="both"/>
      </w:pPr>
      <w:r>
        <w:rPr>
          <w:rFonts w:ascii="Times New Roman" w:hAnsi="Times New Roman" w:eastAsia="宋体"/>
          <w:b w:val="0"/>
          <w:color w:val="000000"/>
          <w:sz w:val="21"/>
        </w:rPr>
        <w:t>这一结论依赖两个条件：计划阶段掌握实际光伏，且外网计划购电没有功率上限。若改为使用日前预测，或限制联络线容量，紧急购电可能重新出现。因此问题二的零紧急购电是题目给定信息结构下的数学结果，不应推广为实际微网永远不需要备用电源。</w:t>
      </w:r>
    </w:p>
    <w:p>
      <w:pPr>
        <w:pStyle w:val="Heading2"/>
        <w:keepNext/>
        <w:spacing w:before="120" w:after="100"/>
      </w:pPr>
      <w:r>
        <w:rPr>
          <w:rFonts w:ascii="Times New Roman" w:hAnsi="Times New Roman" w:eastAsia="黑体"/>
          <w:b/>
          <w:color w:val="000000"/>
          <w:sz w:val="25"/>
        </w:rPr>
        <w:t>7.5 年度储能能量闭合</w:t>
      </w:r>
    </w:p>
    <w:p>
      <w:pPr>
        <w:spacing w:line="360" w:lineRule="auto" w:after="80"/>
        <w:ind w:firstLine="420"/>
        <w:jc w:val="both"/>
      </w:pPr>
      <w:r>
        <w:rPr>
          <w:rFonts w:ascii="Times New Roman" w:hAnsi="Times New Roman" w:eastAsia="宋体"/>
          <w:b w:val="0"/>
          <w:color w:val="000000"/>
          <w:sz w:val="21"/>
        </w:rPr>
        <w:t>全年充电量为6,631,823.926 kWh，放电量为5,373,532.380 kWh，放电量与充电量之比为0.810265，与0.90²=0.81一致。交流母线侧差额1,258,291.546 kWh为储能损耗。因为年初和年末SOC均为6000 kWh，且各日之间状态连续，全年能量闭合不含边界项。</w:t>
      </w:r>
    </w:p>
    <w:p>
      <w:pPr>
        <w:pStyle w:val="Heading1"/>
        <w:keepNext/>
        <w:spacing w:before="200" w:after="100"/>
      </w:pPr>
      <w:r>
        <w:rPr>
          <w:rFonts w:ascii="Times New Roman" w:hAnsi="Times New Roman" w:eastAsia="黑体"/>
          <w:b/>
          <w:color w:val="000000"/>
          <w:sz w:val="30"/>
        </w:rPr>
        <w:t>8  问题三多时点预测滚动优化</w:t>
      </w:r>
    </w:p>
    <w:p>
      <w:pPr>
        <w:pStyle w:val="Heading2"/>
        <w:keepNext/>
        <w:spacing w:before="120" w:after="100"/>
      </w:pPr>
      <w:r>
        <w:rPr>
          <w:rFonts w:ascii="Times New Roman" w:hAnsi="Times New Roman" w:eastAsia="黑体"/>
          <w:b/>
          <w:color w:val="000000"/>
          <w:sz w:val="25"/>
        </w:rPr>
        <w:t>8.1 滚动决策机制</w:t>
      </w:r>
    </w:p>
    <w:p>
      <w:pPr>
        <w:spacing w:line="360" w:lineRule="auto" w:after="80"/>
        <w:ind w:firstLine="420"/>
        <w:jc w:val="both"/>
      </w:pPr>
      <w:r>
        <w:rPr>
          <w:rFonts w:ascii="Times New Roman" w:hAnsi="Times New Roman" w:eastAsia="宋体"/>
          <w:b w:val="0"/>
          <w:color w:val="000000"/>
          <w:sz w:val="21"/>
        </w:rPr>
        <w:t>0:00时将24个整点预测分别复制到6个10分钟格，形成全天光伏预测并求解基准计划G0。到6:00、12:00和18:00时，保留此前已经执行的决策和对应SOC，以最新预测重新求解剩余时段。预测超过当日24:00的部分不参与当日模型。</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440"/>
            <w:shd w:fill="D9EAF7"/>
            <w:vAlign w:val="center"/>
          </w:tcPr>
          <w:p>
            <w:pPr>
              <w:keepNext/>
              <w:jc w:val="center"/>
            </w:pPr>
            <w:r>
              <w:rPr>
                <w:rFonts w:ascii="Times New Roman" w:hAnsi="Times New Roman" w:eastAsia="黑体"/>
                <w:b/>
                <w:color w:val="000000"/>
                <w:sz w:val="19"/>
              </w:rPr>
              <w:t>发布时刻</w:t>
            </w:r>
          </w:p>
        </w:tc>
        <w:tc>
          <w:tcPr>
            <w:tcW w:type="dxa" w:w="2448"/>
            <w:shd w:fill="D9EAF7"/>
            <w:vAlign w:val="center"/>
          </w:tcPr>
          <w:p>
            <w:pPr>
              <w:keepNext/>
              <w:jc w:val="center"/>
            </w:pPr>
            <w:r>
              <w:rPr>
                <w:rFonts w:ascii="Times New Roman" w:hAnsi="Times New Roman" w:eastAsia="黑体"/>
                <w:b/>
                <w:color w:val="000000"/>
                <w:sz w:val="19"/>
              </w:rPr>
              <w:t>已冻结区间</w:t>
            </w:r>
          </w:p>
        </w:tc>
        <w:tc>
          <w:tcPr>
            <w:tcW w:type="dxa" w:w="2448"/>
            <w:shd w:fill="D9EAF7"/>
            <w:vAlign w:val="center"/>
          </w:tcPr>
          <w:p>
            <w:pPr>
              <w:keepNext/>
              <w:jc w:val="center"/>
            </w:pPr>
            <w:r>
              <w:rPr>
                <w:rFonts w:ascii="Times New Roman" w:hAnsi="Times New Roman" w:eastAsia="黑体"/>
                <w:b/>
                <w:color w:val="000000"/>
                <w:sz w:val="19"/>
              </w:rPr>
              <w:t>重新优化区间</w:t>
            </w:r>
          </w:p>
        </w:tc>
        <w:tc>
          <w:tcPr>
            <w:tcW w:type="dxa" w:w="3024"/>
            <w:shd w:fill="D9EAF7"/>
            <w:vAlign w:val="center"/>
          </w:tcPr>
          <w:p>
            <w:pPr>
              <w:keepNext/>
              <w:jc w:val="center"/>
            </w:pPr>
            <w:r>
              <w:rPr>
                <w:rFonts w:ascii="Times New Roman" w:hAnsi="Times New Roman" w:eastAsia="黑体"/>
                <w:b/>
                <w:color w:val="000000"/>
                <w:sz w:val="19"/>
              </w:rPr>
              <w:t>所用预测</w:t>
            </w:r>
          </w:p>
        </w:tc>
      </w:tr>
      <w:tr>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0:00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无</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0:00-24:00</w:t>
            </w:r>
          </w:p>
        </w:tc>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0点发布的未来24小时</w:t>
            </w:r>
          </w:p>
        </w:tc>
      </w:tr>
      <w:tr>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6:00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0:00-6:00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6:00-24:00</w:t>
            </w:r>
          </w:p>
        </w:tc>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6点预测的前18小时</w:t>
            </w:r>
          </w:p>
        </w:tc>
      </w:tr>
      <w:tr>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12:00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0:00-12:00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12:00-24:00</w:t>
            </w:r>
          </w:p>
        </w:tc>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12点预测的前12小时</w:t>
            </w:r>
          </w:p>
        </w:tc>
      </w:tr>
      <w:tr>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18:00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0:00-18:00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18:00-24:00</w:t>
            </w:r>
          </w:p>
        </w:tc>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18点预测的前6小时</w:t>
            </w:r>
          </w:p>
        </w:tc>
      </w:tr>
    </w:tbl>
    <w:p>
      <w:pPr>
        <w:spacing w:after="40"/>
      </w:pPr>
    </w:p>
    <w:p>
      <w:pPr>
        <w:pStyle w:val="Heading2"/>
        <w:keepNext/>
        <w:spacing w:before="120" w:after="100"/>
      </w:pPr>
      <w:r>
        <w:rPr>
          <w:rFonts w:ascii="Times New Roman" w:hAnsi="Times New Roman" w:eastAsia="黑体"/>
          <w:b/>
          <w:color w:val="000000"/>
          <w:sz w:val="25"/>
        </w:rPr>
        <w:t>8.2 调整结算目标</w:t>
      </w:r>
    </w:p>
    <w:p>
      <w:pPr>
        <w:spacing w:line="360" w:lineRule="auto" w:after="80"/>
        <w:ind w:firstLine="420"/>
        <w:jc w:val="both"/>
      </w:pPr>
      <w:r>
        <w:rPr>
          <w:rFonts w:ascii="Times New Roman" w:hAnsi="Times New Roman" w:eastAsia="宋体"/>
          <w:b w:val="0"/>
          <w:color w:val="000000"/>
          <w:sz w:val="21"/>
        </w:rPr>
        <w:t>若调整购电量低于0:00计划，减少部分仍支付交易电价50%的违约费；若高于计划，仅对超出部分按交易电价1.5倍增加费用。计划购电费始终按G0计算，避免把已经承诺的电量重复替换为调整量。</w:t>
      </w:r>
    </w:p>
    <w:p>
      <w:pPr>
        <w:spacing w:before="60" w:after="100"/>
        <w:jc w:val="center"/>
      </w:pPr>
      <m:oMathPara>
        <m:oMath>
          <m:r>
            <m:t>Cadj=Σ(d,t){0.5π(d,t)[G0(d,t)-G(d,t)]⁺+1.5π(d,t)[G(d,t)-G0(d,t)]⁺}</m:t>
          </m:r>
        </m:oMath>
      </m:oMathPara>
      <w:r>
        <w:rPr>
          <w:rFonts w:ascii="Times New Roman" w:hAnsi="Times New Roman" w:eastAsia="Times New Roman"/>
          <w:b w:val="0"/>
          <w:color w:val="000000"/>
          <w:sz w:val="21"/>
        </w:rPr>
        <w:t xml:space="preserve">    (11)</w:t>
      </w:r>
    </w:p>
    <w:p>
      <w:pPr>
        <w:spacing w:before="60" w:after="100"/>
        <w:jc w:val="center"/>
      </w:pPr>
      <m:oMathPara>
        <m:oMath>
          <m:r>
            <m:t>Croll=Cplan+Cadj+5Σ(d,t)π(d,t)E(d,t)</m:t>
          </m:r>
        </m:oMath>
      </m:oMathPara>
      <w:r>
        <w:rPr>
          <w:rFonts w:ascii="Times New Roman" w:hAnsi="Times New Roman" w:eastAsia="Times New Roman"/>
          <w:b w:val="0"/>
          <w:color w:val="000000"/>
          <w:sz w:val="21"/>
        </w:rPr>
        <w:t xml:space="preserve">    (12)</w:t>
      </w:r>
    </w:p>
    <w:p>
      <w:pPr>
        <w:spacing w:line="360" w:lineRule="auto" w:after="80"/>
        <w:ind w:firstLine="420"/>
        <w:jc w:val="both"/>
      </w:pPr>
      <w:r>
        <w:rPr>
          <w:rFonts w:ascii="Times New Roman" w:hAnsi="Times New Roman" w:eastAsia="宋体"/>
          <w:b w:val="0"/>
          <w:color w:val="000000"/>
          <w:sz w:val="21"/>
        </w:rPr>
        <w:t>每次调整的目标函数仅包含会受本次决策影响的偏差费用和未来物理运行成本，并维持当日终端SOC。实际执行后，用附件2实际光伏计算所需光伏与可用光伏之间的正缺口，得到最终紧急购电量。</w:t>
      </w:r>
    </w:p>
    <w:p>
      <w:pPr>
        <w:pStyle w:val="Heading2"/>
        <w:keepNext/>
        <w:spacing w:before="120" w:after="100"/>
      </w:pPr>
      <w:r>
        <w:rPr>
          <w:rFonts w:ascii="Times New Roman" w:hAnsi="Times New Roman" w:eastAsia="黑体"/>
          <w:b/>
          <w:color w:val="000000"/>
          <w:sz w:val="25"/>
        </w:rPr>
        <w:t>8.3 总体结果与0点基线比较</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168"/>
            <w:shd w:fill="D9EAF7"/>
            <w:vAlign w:val="center"/>
          </w:tcPr>
          <w:p>
            <w:pPr>
              <w:keepNext/>
              <w:jc w:val="center"/>
            </w:pPr>
            <w:r>
              <w:rPr>
                <w:rFonts w:ascii="Times New Roman" w:hAnsi="Times New Roman" w:eastAsia="黑体"/>
                <w:b/>
                <w:color w:val="000000"/>
                <w:sz w:val="18"/>
              </w:rPr>
              <w:t>指标</w:t>
            </w:r>
          </w:p>
        </w:tc>
        <w:tc>
          <w:tcPr>
            <w:tcW w:type="dxa" w:w="3096"/>
            <w:shd w:fill="D9EAF7"/>
            <w:vAlign w:val="center"/>
          </w:tcPr>
          <w:p>
            <w:pPr>
              <w:keepNext/>
              <w:jc w:val="center"/>
            </w:pPr>
            <w:r>
              <w:rPr>
                <w:rFonts w:ascii="Times New Roman" w:hAnsi="Times New Roman" w:eastAsia="黑体"/>
                <w:b/>
                <w:color w:val="000000"/>
                <w:sz w:val="18"/>
              </w:rPr>
              <w:t>0点计划</w:t>
            </w:r>
          </w:p>
        </w:tc>
        <w:tc>
          <w:tcPr>
            <w:tcW w:type="dxa" w:w="3096"/>
            <w:shd w:fill="D9EAF7"/>
            <w:vAlign w:val="center"/>
          </w:tcPr>
          <w:p>
            <w:pPr>
              <w:keepNext/>
              <w:jc w:val="center"/>
            </w:pPr>
            <w:r>
              <w:rPr>
                <w:rFonts w:ascii="Times New Roman" w:hAnsi="Times New Roman" w:eastAsia="黑体"/>
                <w:b/>
                <w:color w:val="000000"/>
                <w:sz w:val="18"/>
              </w:rPr>
              <w:t>滚动后结果</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计划/调整购电量 kWh</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20,385,219.036</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20,813,735.535</w:t>
            </w:r>
          </w:p>
        </w:tc>
      </w:tr>
      <w:tr>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上调购电量 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0.000</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428,516.499</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紧急购电量 kWh</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1,156,706.403</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869,434.390</w:t>
            </w:r>
          </w:p>
        </w:tc>
      </w:tr>
      <w:tr>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物理购电总量 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21,541,925.439</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21,683,169.926</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总费用 元</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17,398,749.163</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16,716,726.782</w:t>
            </w:r>
          </w:p>
        </w:tc>
      </w:tr>
    </w:tbl>
    <w:p>
      <w:pPr>
        <w:spacing w:after="40"/>
      </w:pPr>
    </w:p>
    <w:p>
      <w:pPr>
        <w:spacing w:line="360" w:lineRule="auto" w:after="80"/>
        <w:ind w:firstLine="420"/>
        <w:jc w:val="both"/>
      </w:pPr>
      <w:r>
        <w:rPr>
          <w:rFonts w:ascii="Times New Roman" w:hAnsi="Times New Roman" w:eastAsia="宋体"/>
          <w:b w:val="0"/>
          <w:color w:val="000000"/>
          <w:sz w:val="21"/>
        </w:rPr>
        <w:t>滚动优化后的计划购电费为12,570,533.914元，调整费用为392,819.339元，紧急购电费为3,753,373.529元，总费用为16,716,726.782元。相对仅用0点预测的基线，紧急购电减少287,272.012 kWh，总费用下降3.920%。因此6、12、18点预测具有明确经济价值。</w:t>
      </w:r>
    </w:p>
    <w:p>
      <w:pPr>
        <w:spacing w:line="360" w:lineRule="auto" w:after="80"/>
        <w:ind w:firstLine="420"/>
        <w:jc w:val="both"/>
      </w:pPr>
      <w:r>
        <w:rPr>
          <w:rFonts w:ascii="Times New Roman" w:hAnsi="Times New Roman" w:eastAsia="宋体"/>
          <w:b w:val="0"/>
          <w:color w:val="000000"/>
          <w:sz w:val="21"/>
        </w:rPr>
        <w:t>下调购电量仅为7.10×10^-11 kWh，可视为求解容差内的0；策略主要通过上调正常购电替代部分5倍价格的紧急购电。尽管物理购电总量略有上升，单位电量结算结构得到改善，从而降低总费用。</w:t>
      </w:r>
    </w:p>
    <w:p>
      <w:pPr>
        <w:pStyle w:val="Heading2"/>
        <w:keepNext/>
        <w:spacing w:before="120" w:after="100"/>
      </w:pPr>
      <w:r>
        <w:rPr>
          <w:rFonts w:ascii="Times New Roman" w:hAnsi="Times New Roman" w:eastAsia="黑体"/>
          <w:b/>
          <w:color w:val="000000"/>
          <w:sz w:val="25"/>
        </w:rPr>
        <w:t>8.4 指定日期紧急购电区间</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304"/>
            <w:shd w:fill="D9EAF7"/>
            <w:vAlign w:val="center"/>
          </w:tcPr>
          <w:p>
            <w:pPr>
              <w:keepNext/>
              <w:jc w:val="center"/>
            </w:pPr>
            <w:r>
              <w:rPr>
                <w:rFonts w:ascii="Times New Roman" w:hAnsi="Times New Roman" w:eastAsia="黑体"/>
                <w:b/>
                <w:color w:val="000000"/>
                <w:sz w:val="17"/>
              </w:rPr>
              <w:t>日期</w:t>
            </w:r>
          </w:p>
        </w:tc>
        <w:tc>
          <w:tcPr>
            <w:tcW w:type="dxa" w:w="3888"/>
            <w:shd w:fill="D9EAF7"/>
            <w:vAlign w:val="center"/>
          </w:tcPr>
          <w:p>
            <w:pPr>
              <w:keepNext/>
              <w:jc w:val="center"/>
            </w:pPr>
            <w:r>
              <w:rPr>
                <w:rFonts w:ascii="Times New Roman" w:hAnsi="Times New Roman" w:eastAsia="黑体"/>
                <w:b/>
                <w:color w:val="000000"/>
                <w:sz w:val="17"/>
              </w:rPr>
              <w:t>紧急购电时间段</w:t>
            </w:r>
          </w:p>
        </w:tc>
        <w:tc>
          <w:tcPr>
            <w:tcW w:type="dxa" w:w="3168"/>
            <w:shd w:fill="D9EAF7"/>
            <w:vAlign w:val="center"/>
          </w:tcPr>
          <w:p>
            <w:pPr>
              <w:keepNext/>
              <w:jc w:val="center"/>
            </w:pPr>
            <w:r>
              <w:rPr>
                <w:rFonts w:ascii="Times New Roman" w:hAnsi="Times New Roman" w:eastAsia="黑体"/>
                <w:b/>
                <w:color w:val="000000"/>
                <w:sz w:val="17"/>
              </w:rPr>
              <w:t>购电量/kWh</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2025-03-20</w:t>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6:10-6:30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396.401</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6:40-10:00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2,459.099</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10:50-12:00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1,027.582</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12:50-13:00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16.007</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13:20-14:00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115.672</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15:50-16:00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16.787</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16:50-17:00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2.986</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2025-06-21</w:t>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4:00-4:50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5.242</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5:00-5:50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362.662</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6:00-7:20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713.167</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11:00-11:10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15.595</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2025-09-23</w:t>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6:00-6:30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558.912</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6:40-6:50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43.893</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7:00-10:40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2,359.012</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10:50-11:20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297.094</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11:30-12:00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153.416</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13:50-14:00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14.528</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15:50-16:00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6.976</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2025-12-21</w:t>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7:00-7:30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570.149</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7:40-11:50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1,933.602</w:t>
            </w:r>
          </w:p>
        </w:tc>
      </w:tr>
    </w:tbl>
    <w:p>
      <w:pPr>
        <w:spacing w:after="40"/>
      </w:pPr>
    </w:p>
    <w:p>
      <w:pPr>
        <w:spacing w:line="360" w:lineRule="auto" w:after="80"/>
        <w:ind w:firstLine="420"/>
        <w:jc w:val="both"/>
      </w:pPr>
      <w:r>
        <w:rPr>
          <w:rFonts w:ascii="Times New Roman" w:hAnsi="Times New Roman" w:eastAsia="宋体"/>
          <w:b w:val="0"/>
          <w:color w:val="000000"/>
          <w:sz w:val="21"/>
        </w:rPr>
        <w:t>紧急购电主要集中在清晨至中午的光伏爬坡期，此时预测偏差与储能可用能量共同决定缺口。时间段已经按右端时间戳口径校正，例如数组中6:20的值对应6:10-6:20，不再整体晚移10分钟。</w:t>
      </w:r>
    </w:p>
    <w:p>
      <w:pPr>
        <w:pStyle w:val="Heading2"/>
        <w:keepNext/>
        <w:spacing w:before="120" w:after="100"/>
      </w:pPr>
      <w:r>
        <w:rPr>
          <w:rFonts w:ascii="Times New Roman" w:hAnsi="Times New Roman" w:eastAsia="黑体"/>
          <w:b/>
          <w:color w:val="000000"/>
          <w:sz w:val="25"/>
        </w:rPr>
        <w:t>8.5 月度滚动执行结果</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080"/>
            <w:shd w:fill="D9EAF7"/>
            <w:vAlign w:val="center"/>
          </w:tcPr>
          <w:p>
            <w:pPr>
              <w:keepNext/>
              <w:jc w:val="center"/>
            </w:pPr>
            <w:r>
              <w:rPr>
                <w:rFonts w:ascii="Times New Roman" w:hAnsi="Times New Roman" w:eastAsia="黑体"/>
                <w:b/>
                <w:color w:val="000000"/>
                <w:sz w:val="16"/>
              </w:rPr>
              <w:t>月份</w:t>
            </w:r>
          </w:p>
        </w:tc>
        <w:tc>
          <w:tcPr>
            <w:tcW w:type="dxa" w:w="2232"/>
            <w:shd w:fill="D9EAF7"/>
            <w:vAlign w:val="center"/>
          </w:tcPr>
          <w:p>
            <w:pPr>
              <w:keepNext/>
              <w:jc w:val="center"/>
            </w:pPr>
            <w:r>
              <w:rPr>
                <w:rFonts w:ascii="Times New Roman" w:hAnsi="Times New Roman" w:eastAsia="黑体"/>
                <w:b/>
                <w:color w:val="000000"/>
                <w:sz w:val="16"/>
              </w:rPr>
              <w:t>调整后购电/万kWh</w:t>
            </w:r>
          </w:p>
        </w:tc>
        <w:tc>
          <w:tcPr>
            <w:tcW w:type="dxa" w:w="2088"/>
            <w:shd w:fill="D9EAF7"/>
            <w:vAlign w:val="center"/>
          </w:tcPr>
          <w:p>
            <w:pPr>
              <w:keepNext/>
              <w:jc w:val="center"/>
            </w:pPr>
            <w:r>
              <w:rPr>
                <w:rFonts w:ascii="Times New Roman" w:hAnsi="Times New Roman" w:eastAsia="黑体"/>
                <w:b/>
                <w:color w:val="000000"/>
                <w:sz w:val="16"/>
              </w:rPr>
              <w:t>紧急购电/万kWh</w:t>
            </w:r>
          </w:p>
        </w:tc>
        <w:tc>
          <w:tcPr>
            <w:tcW w:type="dxa" w:w="1872"/>
            <w:shd w:fill="D9EAF7"/>
            <w:vAlign w:val="center"/>
          </w:tcPr>
          <w:p>
            <w:pPr>
              <w:keepNext/>
              <w:jc w:val="center"/>
            </w:pPr>
            <w:r>
              <w:rPr>
                <w:rFonts w:ascii="Times New Roman" w:hAnsi="Times New Roman" w:eastAsia="黑体"/>
                <w:b/>
                <w:color w:val="000000"/>
                <w:sz w:val="16"/>
              </w:rPr>
              <w:t>充电/万kWh</w:t>
            </w:r>
          </w:p>
        </w:tc>
        <w:tc>
          <w:tcPr>
            <w:tcW w:type="dxa" w:w="1872"/>
            <w:shd w:fill="D9EAF7"/>
            <w:vAlign w:val="center"/>
          </w:tcPr>
          <w:p>
            <w:pPr>
              <w:keepNext/>
              <w:jc w:val="center"/>
            </w:pPr>
            <w:r>
              <w:rPr>
                <w:rFonts w:ascii="Times New Roman" w:hAnsi="Times New Roman" w:eastAsia="黑体"/>
                <w:b/>
                <w:color w:val="000000"/>
                <w:sz w:val="16"/>
              </w:rPr>
              <w:t>放电/万kWh</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2月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191.21</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7.03</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59.91</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48.53</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180.87</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7.76</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61.94</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50.17</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4月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151.05</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8.33</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52.78</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42.75</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148.32</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8.60</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51.06</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41.36</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6月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197.59</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7.32</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59.19</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47.94</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219.20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8.46</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60.03</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48.63</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8月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191.98</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9.01</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54.06</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43.79</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169.10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8.16</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55.87</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45.25</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10月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178.03</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8.36</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61.69</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49.97</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199.24</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6.90</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65.02</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52.66</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12月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254.76</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7.03</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74.03</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59.96</w:t>
            </w:r>
          </w:p>
        </w:tc>
      </w:tr>
    </w:tbl>
    <w:p>
      <w:pPr>
        <w:spacing w:after="40"/>
      </w:pPr>
    </w:p>
    <w:p>
      <w:pPr>
        <w:spacing w:before="80" w:after="40"/>
        <w:jc w:val="center"/>
      </w:pPr>
      <w:r>
        <w:drawing>
          <wp:inline xmlns:a="http://schemas.openxmlformats.org/drawingml/2006/main" xmlns:pic="http://schemas.openxmlformats.org/drawingml/2006/picture">
            <wp:extent cx="5806440" cy="2758059"/>
            <wp:docPr id="5" name="Picture 5"/>
            <wp:cNvGraphicFramePr>
              <a:graphicFrameLocks noChangeAspect="1"/>
            </wp:cNvGraphicFramePr>
            <a:graphic>
              <a:graphicData uri="http://schemas.openxmlformats.org/drawingml/2006/picture">
                <pic:pic>
                  <pic:nvPicPr>
                    <pic:cNvPr id="0" name="monthly_emergency.png"/>
                    <pic:cNvPicPr/>
                  </pic:nvPicPr>
                  <pic:blipFill>
                    <a:blip r:embed="rId14"/>
                    <a:stretch>
                      <a:fillRect/>
                    </a:stretch>
                  </pic:blipFill>
                  <pic:spPr>
                    <a:xfrm>
                      <a:off x="0" y="0"/>
                      <a:ext cx="5806440" cy="2758059"/>
                    </a:xfrm>
                    <a:prstGeom prst="rect"/>
                  </pic:spPr>
                </pic:pic>
              </a:graphicData>
            </a:graphic>
          </wp:inline>
        </w:drawing>
      </w:r>
    </w:p>
    <w:p>
      <w:pPr>
        <w:keepNext/>
        <w:spacing w:before="100" w:after="80"/>
        <w:jc w:val="center"/>
      </w:pPr>
      <w:r>
        <w:rPr>
          <w:rFonts w:ascii="Times New Roman" w:hAnsi="Times New Roman" w:eastAsia="宋体"/>
          <w:b/>
          <w:color w:val="000000"/>
          <w:sz w:val="21"/>
        </w:rPr>
        <w:t>图6  固定与动态电价下月度紧急购电量</w:t>
      </w:r>
    </w:p>
    <w:p>
      <w:pPr>
        <w:spacing w:line="360" w:lineRule="auto" w:after="80"/>
        <w:ind w:firstLine="420"/>
        <w:jc w:val="both"/>
      </w:pPr>
      <w:r>
        <w:rPr>
          <w:rFonts w:ascii="Times New Roman" w:hAnsi="Times New Roman" w:eastAsia="宋体"/>
          <w:b w:val="0"/>
          <w:color w:val="000000"/>
          <w:sz w:val="21"/>
        </w:rPr>
        <w:t>固定电价滚动方案的紧急购电峰值出现在8月，该月紧急购电占物理外网购电的4.482%。紧急购电在各月均可能出现，表明误差并非单一季节事件；但其规模随光伏爬坡速度、预测偏差和当月负载共同变化。月度数据由完整10分钟紧急购电区间逐日汇总，各月合计与869434.390 kWh年度总量完全一致。</w:t>
      </w:r>
    </w:p>
    <w:p>
      <w:pPr>
        <w:pStyle w:val="Heading2"/>
        <w:keepNext/>
        <w:spacing w:before="120" w:after="100"/>
      </w:pPr>
      <w:r>
        <w:rPr>
          <w:rFonts w:ascii="Times New Roman" w:hAnsi="Times New Roman" w:eastAsia="黑体"/>
          <w:b/>
          <w:color w:val="000000"/>
          <w:sz w:val="25"/>
        </w:rPr>
        <w:t>8.6 费用组成与更新价值</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232"/>
            <w:shd w:fill="D9EAF7"/>
            <w:vAlign w:val="center"/>
          </w:tcPr>
          <w:p>
            <w:pPr>
              <w:keepNext/>
              <w:jc w:val="center"/>
            </w:pPr>
            <w:r>
              <w:rPr>
                <w:rFonts w:ascii="Times New Roman" w:hAnsi="Times New Roman" w:eastAsia="黑体"/>
                <w:b/>
                <w:color w:val="000000"/>
                <w:sz w:val="17"/>
              </w:rPr>
              <w:t>费用项目</w:t>
            </w:r>
          </w:p>
        </w:tc>
        <w:tc>
          <w:tcPr>
            <w:tcW w:type="dxa" w:w="2232"/>
            <w:shd w:fill="D9EAF7"/>
            <w:vAlign w:val="center"/>
          </w:tcPr>
          <w:p>
            <w:pPr>
              <w:keepNext/>
              <w:jc w:val="center"/>
            </w:pPr>
            <w:r>
              <w:rPr>
                <w:rFonts w:ascii="Times New Roman" w:hAnsi="Times New Roman" w:eastAsia="黑体"/>
                <w:b/>
                <w:color w:val="000000"/>
                <w:sz w:val="17"/>
              </w:rPr>
              <w:t>金额/元</w:t>
            </w:r>
          </w:p>
        </w:tc>
        <w:tc>
          <w:tcPr>
            <w:tcW w:type="dxa" w:w="1800"/>
            <w:shd w:fill="D9EAF7"/>
            <w:vAlign w:val="center"/>
          </w:tcPr>
          <w:p>
            <w:pPr>
              <w:keepNext/>
              <w:jc w:val="center"/>
            </w:pPr>
            <w:r>
              <w:rPr>
                <w:rFonts w:ascii="Times New Roman" w:hAnsi="Times New Roman" w:eastAsia="黑体"/>
                <w:b/>
                <w:color w:val="000000"/>
                <w:sz w:val="17"/>
              </w:rPr>
              <w:t>占总费用/%</w:t>
            </w:r>
          </w:p>
        </w:tc>
        <w:tc>
          <w:tcPr>
            <w:tcW w:type="dxa" w:w="3096"/>
            <w:shd w:fill="D9EAF7"/>
            <w:vAlign w:val="center"/>
          </w:tcPr>
          <w:p>
            <w:pPr>
              <w:keepNext/>
              <w:jc w:val="center"/>
            </w:pPr>
            <w:r>
              <w:rPr>
                <w:rFonts w:ascii="Times New Roman" w:hAnsi="Times New Roman" w:eastAsia="黑体"/>
                <w:b/>
                <w:color w:val="000000"/>
                <w:sz w:val="17"/>
              </w:rPr>
              <w:t>形成机制</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0点计划购电费</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12,570,533.914</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7"/>
              </w:rPr>
              <w:t>75.197</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7"/>
              </w:rPr>
              <w:t>按0点基准计划结算</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调整费用</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392,819.339</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2.350</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上调1.5倍 下调违约50%</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紧急购电费</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3,753,373.529</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7"/>
              </w:rPr>
              <w:t>22.453</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7"/>
              </w:rPr>
              <w:t>实际缺口按5倍价格补足</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总费用</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16,716,726.782</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100.000</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三项费用之和</w:t>
            </w:r>
          </w:p>
        </w:tc>
      </w:tr>
    </w:tbl>
    <w:p>
      <w:pPr>
        <w:spacing w:after="40"/>
      </w:pPr>
    </w:p>
    <w:p>
      <w:pPr>
        <w:spacing w:line="360" w:lineRule="auto" w:after="80"/>
        <w:ind w:firstLine="420"/>
        <w:jc w:val="both"/>
      </w:pPr>
      <w:r>
        <w:rPr>
          <w:rFonts w:ascii="Times New Roman" w:hAnsi="Times New Roman" w:eastAsia="宋体"/>
          <w:b w:val="0"/>
          <w:color w:val="000000"/>
          <w:sz w:val="21"/>
        </w:rPr>
        <w:t>增加6、12、18点预测后，模型用较便宜的上调购电替代部分5倍价格的紧急购电。即使上调部分按1.5倍计价，其单位成本仍只有紧急购电的30%。因此滚动策略允许物理购电量略增，却使高价应急电量下降并降低总费用。这也是本题中评价策略时必须同时报告电量结构和费用结构的原因。</w:t>
      </w:r>
    </w:p>
    <w:p>
      <w:pPr>
        <w:pStyle w:val="Heading2"/>
        <w:keepNext/>
        <w:spacing w:before="120" w:after="100"/>
      </w:pPr>
      <w:r>
        <w:rPr>
          <w:rFonts w:ascii="Times New Roman" w:hAnsi="Times New Roman" w:eastAsia="黑体"/>
          <w:b/>
          <w:color w:val="000000"/>
          <w:sz w:val="25"/>
        </w:rPr>
        <w:t>8.7 四个指定日期的差异</w:t>
      </w:r>
    </w:p>
    <w:p>
      <w:pPr>
        <w:spacing w:line="360" w:lineRule="auto" w:after="80"/>
        <w:ind w:firstLine="420"/>
        <w:jc w:val="both"/>
      </w:pPr>
      <w:r>
        <w:rPr>
          <w:rFonts w:ascii="Times New Roman" w:hAnsi="Times New Roman" w:eastAsia="宋体"/>
          <w:b w:val="0"/>
          <w:color w:val="000000"/>
          <w:sz w:val="21"/>
        </w:rPr>
        <w:t>四个指定日期中，紧急购电量从高到低依次为2025-03-20为4,034.533 kWh、2025-09-23为3,433.832 kWh、2025-12-21为2,503.751 kWh、2025-06-21为1,096.665 kWh。3月20日的缺口最大，且由多个清晨至午间区间构成；6月21日缺口最小，说明最新预测与储能余量能够覆盖多数偏差。四日区间分布不同，但都没有在18点以后形成大规模连续缺口，反映晚间光伏预测误差已基本消失。</w:t>
      </w:r>
    </w:p>
    <w:p>
      <w:pPr>
        <w:pStyle w:val="Heading2"/>
        <w:keepNext/>
        <w:spacing w:before="120" w:after="100"/>
      </w:pPr>
      <w:r>
        <w:rPr>
          <w:rFonts w:ascii="Times New Roman" w:hAnsi="Times New Roman" w:eastAsia="黑体"/>
          <w:b/>
          <w:color w:val="000000"/>
          <w:sz w:val="25"/>
        </w:rPr>
        <w:t>8.8 滚动算法伪代码说明</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936"/>
            <w:shd w:fill="D9EAF7"/>
            <w:vAlign w:val="center"/>
          </w:tcPr>
          <w:p>
            <w:pPr>
              <w:keepNext/>
              <w:jc w:val="center"/>
            </w:pPr>
            <w:r>
              <w:rPr>
                <w:rFonts w:ascii="Times New Roman" w:hAnsi="Times New Roman" w:eastAsia="黑体"/>
                <w:b/>
                <w:color w:val="000000"/>
                <w:sz w:val="17"/>
              </w:rPr>
              <w:t>步骤</w:t>
            </w:r>
          </w:p>
        </w:tc>
        <w:tc>
          <w:tcPr>
            <w:tcW w:type="dxa" w:w="5184"/>
            <w:shd w:fill="D9EAF7"/>
            <w:vAlign w:val="center"/>
          </w:tcPr>
          <w:p>
            <w:pPr>
              <w:keepNext/>
              <w:jc w:val="center"/>
            </w:pPr>
            <w:r>
              <w:rPr>
                <w:rFonts w:ascii="Times New Roman" w:hAnsi="Times New Roman" w:eastAsia="黑体"/>
                <w:b/>
                <w:color w:val="000000"/>
                <w:sz w:val="17"/>
              </w:rPr>
              <w:t>操作</w:t>
            </w:r>
          </w:p>
        </w:tc>
        <w:tc>
          <w:tcPr>
            <w:tcW w:type="dxa" w:w="3240"/>
            <w:shd w:fill="D9EAF7"/>
            <w:vAlign w:val="center"/>
          </w:tcPr>
          <w:p>
            <w:pPr>
              <w:keepNext/>
              <w:jc w:val="center"/>
            </w:pPr>
            <w:r>
              <w:rPr>
                <w:rFonts w:ascii="Times New Roman" w:hAnsi="Times New Roman" w:eastAsia="黑体"/>
                <w:b/>
                <w:color w:val="000000"/>
                <w:sz w:val="17"/>
              </w:rPr>
              <w:t>关键状态</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7"/>
              </w:rPr>
              <w:t>1</w:t>
            </w:r>
          </w:p>
        </w:tc>
        <w:tc>
          <w:tcPr>
            <w:tcW w:type="dxa" w:w="5184"/>
            <w:vAlign w:val="center"/>
            <w:tcMar>
              <w:top w:w="80" w:type="dxa"/>
              <w:start w:w="90" w:type="dxa"/>
              <w:bottom w:w="80" w:type="dxa"/>
              <w:end w:w="90" w:type="dxa"/>
            </w:tcMar>
          </w:tcPr>
          <w:p>
            <w:pPr>
              <w:jc w:val="center"/>
            </w:pPr>
            <w:r>
              <w:rPr>
                <w:rFonts w:ascii="Times New Roman" w:hAnsi="Times New Roman" w:eastAsia="宋体"/>
                <w:b w:val="0"/>
                <w:color w:val="000000"/>
                <w:sz w:val="17"/>
              </w:rPr>
              <w:t>读取0点预测并展开为144个10分钟格</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形成G0和初始SOC轨迹</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w:t>
            </w:r>
          </w:p>
        </w:tc>
        <w:tc>
          <w:tcPr>
            <w:tcW w:type="dxa" w:w="51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到6点冻结索引0至35</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以S(36)作为剩余时域初值</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7"/>
              </w:rPr>
              <w:t>3</w:t>
            </w:r>
          </w:p>
        </w:tc>
        <w:tc>
          <w:tcPr>
            <w:tcW w:type="dxa" w:w="5184"/>
            <w:vAlign w:val="center"/>
            <w:tcMar>
              <w:top w:w="80" w:type="dxa"/>
              <w:start w:w="90" w:type="dxa"/>
              <w:bottom w:w="80" w:type="dxa"/>
              <w:end w:w="90" w:type="dxa"/>
            </w:tcMar>
          </w:tcPr>
          <w:p>
            <w:pPr>
              <w:jc w:val="center"/>
            </w:pPr>
            <w:r>
              <w:rPr>
                <w:rFonts w:ascii="Times New Roman" w:hAnsi="Times New Roman" w:eastAsia="宋体"/>
                <w:b w:val="0"/>
                <w:color w:val="000000"/>
                <w:sz w:val="17"/>
              </w:rPr>
              <w:t>到12点冻结索引0至71</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以S(72)作为剩余时域初值</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4</w:t>
            </w:r>
          </w:p>
        </w:tc>
        <w:tc>
          <w:tcPr>
            <w:tcW w:type="dxa" w:w="51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到18点冻结索引0至107</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以S(108)作为剩余时域初值</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7"/>
              </w:rPr>
              <w:t>5</w:t>
            </w:r>
          </w:p>
        </w:tc>
        <w:tc>
          <w:tcPr>
            <w:tcW w:type="dxa" w:w="5184"/>
            <w:vAlign w:val="center"/>
            <w:tcMar>
              <w:top w:w="80" w:type="dxa"/>
              <w:start w:w="90" w:type="dxa"/>
              <w:bottom w:w="80" w:type="dxa"/>
              <w:end w:w="90" w:type="dxa"/>
            </w:tcMar>
          </w:tcPr>
          <w:p>
            <w:pPr>
              <w:jc w:val="center"/>
            </w:pPr>
            <w:r>
              <w:rPr>
                <w:rFonts w:ascii="Times New Roman" w:hAnsi="Times New Roman" w:eastAsia="宋体"/>
                <w:b w:val="0"/>
                <w:color w:val="000000"/>
                <w:sz w:val="17"/>
              </w:rPr>
              <w:t>用实际光伏回放最终策略</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计算紧急购电与结算费用</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6</w:t>
            </w:r>
          </w:p>
        </w:tc>
        <w:tc>
          <w:tcPr>
            <w:tcW w:type="dxa" w:w="51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检查日末SOC和全部残差</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写入计划 调整 储能与应急表</w:t>
            </w:r>
          </w:p>
        </w:tc>
      </w:tr>
    </w:tbl>
    <w:p>
      <w:pPr>
        <w:spacing w:after="40"/>
      </w:pPr>
    </w:p>
    <w:p>
      <w:pPr>
        <w:pStyle w:val="Heading1"/>
        <w:keepNext/>
        <w:spacing w:before="200" w:after="100"/>
      </w:pPr>
      <w:r>
        <w:rPr>
          <w:rFonts w:ascii="Times New Roman" w:hAnsi="Times New Roman" w:eastAsia="黑体"/>
          <w:b/>
          <w:color w:val="000000"/>
          <w:sz w:val="30"/>
        </w:rPr>
        <w:t>9  问题四动态电价扩展</w:t>
      </w:r>
    </w:p>
    <w:p>
      <w:pPr>
        <w:pStyle w:val="Heading2"/>
        <w:keepNext/>
        <w:spacing w:before="120" w:after="100"/>
      </w:pPr>
      <w:r>
        <w:rPr>
          <w:rFonts w:ascii="Times New Roman" w:hAnsi="Times New Roman" w:eastAsia="黑体"/>
          <w:b/>
          <w:color w:val="000000"/>
          <w:sz w:val="25"/>
        </w:rPr>
        <w:t>9.1 模型修改</w:t>
      </w:r>
    </w:p>
    <w:p>
      <w:pPr>
        <w:spacing w:line="360" w:lineRule="auto" w:after="80"/>
        <w:ind w:firstLine="420"/>
        <w:jc w:val="both"/>
      </w:pPr>
      <w:r>
        <w:rPr>
          <w:rFonts w:ascii="Times New Roman" w:hAnsi="Times New Roman" w:eastAsia="宋体"/>
          <w:b w:val="0"/>
          <w:color w:val="000000"/>
          <w:sz w:val="21"/>
        </w:rPr>
        <w:t>问题四保持前述决策变量、约束和滚动机制不变，将固定价格向量π(t)替换为逐日动态价格π(d,t)。紧急购电、违约和超购费率均以各自交易时段的动态价格为基数。由于平均价格几乎不变而方差增大，费用变化主要来自价格与净负载、预测误差在时间上的相关性，而非均价变化。</w:t>
      </w:r>
    </w:p>
    <w:p>
      <w:pPr>
        <w:pStyle w:val="Heading2"/>
        <w:keepNext/>
        <w:spacing w:before="120" w:after="100"/>
      </w:pPr>
      <w:r>
        <w:rPr>
          <w:rFonts w:ascii="Times New Roman" w:hAnsi="Times New Roman" w:eastAsia="黑体"/>
          <w:b/>
          <w:color w:val="000000"/>
          <w:sz w:val="25"/>
        </w:rPr>
        <w:t>9.2 问题四结果</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168"/>
            <w:shd w:fill="D9EAF7"/>
            <w:vAlign w:val="center"/>
          </w:tcPr>
          <w:p>
            <w:pPr>
              <w:keepNext/>
              <w:jc w:val="center"/>
            </w:pPr>
            <w:r>
              <w:rPr>
                <w:rFonts w:ascii="Times New Roman" w:hAnsi="Times New Roman" w:eastAsia="黑体"/>
                <w:b/>
                <w:color w:val="000000"/>
                <w:sz w:val="18"/>
              </w:rPr>
              <w:t>指标</w:t>
            </w:r>
          </w:p>
        </w:tc>
        <w:tc>
          <w:tcPr>
            <w:tcW w:type="dxa" w:w="3096"/>
            <w:shd w:fill="D9EAF7"/>
            <w:vAlign w:val="center"/>
          </w:tcPr>
          <w:p>
            <w:pPr>
              <w:keepNext/>
              <w:jc w:val="center"/>
            </w:pPr>
            <w:r>
              <w:rPr>
                <w:rFonts w:ascii="Times New Roman" w:hAnsi="Times New Roman" w:eastAsia="黑体"/>
                <w:b/>
                <w:color w:val="000000"/>
                <w:sz w:val="18"/>
              </w:rPr>
              <w:t>问题4-2</w:t>
            </w:r>
          </w:p>
        </w:tc>
        <w:tc>
          <w:tcPr>
            <w:tcW w:type="dxa" w:w="3096"/>
            <w:shd w:fill="D9EAF7"/>
            <w:vAlign w:val="center"/>
          </w:tcPr>
          <w:p>
            <w:pPr>
              <w:keepNext/>
              <w:jc w:val="center"/>
            </w:pPr>
            <w:r>
              <w:rPr>
                <w:rFonts w:ascii="Times New Roman" w:hAnsi="Times New Roman" w:eastAsia="黑体"/>
                <w:b/>
                <w:color w:val="000000"/>
                <w:sz w:val="18"/>
              </w:rPr>
              <w:t>问题4-3</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计划购电量/kWh</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20,236,466.062</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20,446,596.213</w:t>
            </w:r>
          </w:p>
        </w:tc>
      </w:tr>
      <w:tr>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调整后购电量/kWh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20,236,466.062</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20,878,970.562</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紧急购电量/kWh</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0.000</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870,418.762</w:t>
            </w:r>
          </w:p>
        </w:tc>
      </w:tr>
      <w:tr>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物理购电总量/kWh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20,236,466.062</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21,749,389.325</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总费用/元</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12,782,591.809</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17,419,346.464</w:t>
            </w:r>
          </w:p>
        </w:tc>
      </w:tr>
      <w:tr>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储能充电量/kWh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6,885,202.511</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6,863,194.085</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储能放电量/kWh</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5,578,094.034</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5,559,187.209</w:t>
            </w:r>
          </w:p>
        </w:tc>
      </w:tr>
    </w:tbl>
    <w:p>
      <w:pPr>
        <w:spacing w:after="40"/>
      </w:pPr>
    </w:p>
    <w:p>
      <w:pPr>
        <w:spacing w:line="360" w:lineRule="auto" w:after="80"/>
        <w:ind w:firstLine="420"/>
        <w:jc w:val="both"/>
      </w:pPr>
      <w:r>
        <w:rPr>
          <w:rFonts w:ascii="Times New Roman" w:hAnsi="Times New Roman" w:eastAsia="宋体"/>
          <w:b w:val="0"/>
          <w:color w:val="000000"/>
          <w:sz w:val="21"/>
        </w:rPr>
        <w:t>动态电价下，确定性问题费用比固定电价问题二增加4.523%，滚动问题费用比问题三增加4.203%。问题4-3相对其仅用0点预测的基线仍减少紧急购电286,287.640 kWh，并节约709,309.554元，费用降幅为3.913%。</w:t>
      </w:r>
    </w:p>
    <w:p>
      <w:pPr>
        <w:spacing w:before="80" w:after="40"/>
        <w:jc w:val="center"/>
      </w:pPr>
      <w:r>
        <w:drawing>
          <wp:inline xmlns:a="http://schemas.openxmlformats.org/drawingml/2006/main" xmlns:pic="http://schemas.openxmlformats.org/drawingml/2006/picture">
            <wp:extent cx="5806440" cy="2758059"/>
            <wp:docPr id="6" name="Picture 6"/>
            <wp:cNvGraphicFramePr>
              <a:graphicFrameLocks noChangeAspect="1"/>
            </wp:cNvGraphicFramePr>
            <a:graphic>
              <a:graphicData uri="http://schemas.openxmlformats.org/drawingml/2006/picture">
                <pic:pic>
                  <pic:nvPicPr>
                    <pic:cNvPr id="0" name="scenario_comparison.png"/>
                    <pic:cNvPicPr/>
                  </pic:nvPicPr>
                  <pic:blipFill>
                    <a:blip r:embed="rId15"/>
                    <a:stretch>
                      <a:fillRect/>
                    </a:stretch>
                  </pic:blipFill>
                  <pic:spPr>
                    <a:xfrm>
                      <a:off x="0" y="0"/>
                      <a:ext cx="5806440" cy="2758059"/>
                    </a:xfrm>
                    <a:prstGeom prst="rect"/>
                  </pic:spPr>
                </pic:pic>
              </a:graphicData>
            </a:graphic>
          </wp:inline>
        </w:drawing>
      </w:r>
    </w:p>
    <w:p>
      <w:pPr>
        <w:keepNext/>
        <w:spacing w:before="100" w:after="80"/>
        <w:jc w:val="center"/>
      </w:pPr>
      <w:r>
        <w:rPr>
          <w:rFonts w:ascii="Times New Roman" w:hAnsi="Times New Roman" w:eastAsia="宋体"/>
          <w:b/>
          <w:color w:val="000000"/>
          <w:sz w:val="21"/>
        </w:rPr>
        <w:t>图3  问题二至问题四总费用与物理购电量对比</w:t>
      </w:r>
    </w:p>
    <w:p>
      <w:pPr>
        <w:spacing w:line="360" w:lineRule="auto" w:after="80"/>
        <w:ind w:firstLine="420"/>
        <w:jc w:val="both"/>
      </w:pPr>
      <w:r>
        <w:rPr>
          <w:rFonts w:ascii="Times New Roman" w:hAnsi="Times New Roman" w:eastAsia="宋体"/>
          <w:b w:val="0"/>
          <w:color w:val="000000"/>
          <w:sz w:val="21"/>
        </w:rPr>
        <w:t>图3表明，是否存在预测偏差对总费用的影响大于电价由固定向动态变化的影响。确定性场景中物理购电约2020万kWh，而滚动预测场景还需要为预测不足承担应急电量，物理购电约2170万kWh。</w:t>
      </w:r>
    </w:p>
    <w:p>
      <w:pPr>
        <w:pStyle w:val="Heading2"/>
        <w:keepNext/>
        <w:spacing w:before="120" w:after="100"/>
      </w:pPr>
      <w:r>
        <w:rPr>
          <w:rFonts w:ascii="Times New Roman" w:hAnsi="Times New Roman" w:eastAsia="黑体"/>
          <w:b/>
          <w:color w:val="000000"/>
          <w:sz w:val="25"/>
        </w:rPr>
        <w:t>9.3 指定日期结果</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592"/>
            <w:shd w:fill="D9EAF7"/>
            <w:vAlign w:val="center"/>
          </w:tcPr>
          <w:p>
            <w:pPr>
              <w:keepNext/>
              <w:jc w:val="center"/>
            </w:pPr>
            <w:r>
              <w:rPr>
                <w:rFonts w:ascii="Times New Roman" w:hAnsi="Times New Roman" w:eastAsia="黑体"/>
                <w:b/>
                <w:color w:val="000000"/>
                <w:sz w:val="19"/>
              </w:rPr>
              <w:t>日期</w:t>
            </w:r>
          </w:p>
        </w:tc>
        <w:tc>
          <w:tcPr>
            <w:tcW w:type="dxa" w:w="3384"/>
            <w:shd w:fill="D9EAF7"/>
            <w:vAlign w:val="center"/>
          </w:tcPr>
          <w:p>
            <w:pPr>
              <w:keepNext/>
              <w:jc w:val="center"/>
            </w:pPr>
            <w:r>
              <w:rPr>
                <w:rFonts w:ascii="Times New Roman" w:hAnsi="Times New Roman" w:eastAsia="黑体"/>
                <w:b/>
                <w:color w:val="000000"/>
                <w:sz w:val="19"/>
              </w:rPr>
              <w:t>问题4-2紧急购电/kWh</w:t>
            </w:r>
          </w:p>
        </w:tc>
        <w:tc>
          <w:tcPr>
            <w:tcW w:type="dxa" w:w="3384"/>
            <w:shd w:fill="D9EAF7"/>
            <w:vAlign w:val="center"/>
          </w:tcPr>
          <w:p>
            <w:pPr>
              <w:keepNext/>
              <w:jc w:val="center"/>
            </w:pPr>
            <w:r>
              <w:rPr>
                <w:rFonts w:ascii="Times New Roman" w:hAnsi="Times New Roman" w:eastAsia="黑体"/>
                <w:b/>
                <w:color w:val="000000"/>
                <w:sz w:val="19"/>
              </w:rPr>
              <w:t>问题4-3紧急购电/kWh</w:t>
            </w:r>
          </w:p>
        </w:tc>
      </w:tr>
      <w:tr>
        <w:tc>
          <w:tcPr>
            <w:tcW w:type="dxa" w:w="2592"/>
            <w:vAlign w:val="center"/>
            <w:tcMar>
              <w:top w:w="80" w:type="dxa"/>
              <w:start w:w="90" w:type="dxa"/>
              <w:bottom w:w="80" w:type="dxa"/>
              <w:end w:w="90" w:type="dxa"/>
            </w:tcMar>
          </w:tcPr>
          <w:p>
            <w:pPr>
              <w:jc w:val="center"/>
            </w:pPr>
            <w:r>
              <w:rPr>
                <w:rFonts w:ascii="Times New Roman" w:hAnsi="Times New Roman" w:eastAsia="宋体"/>
                <w:b w:val="0"/>
                <w:color w:val="000000"/>
                <w:sz w:val="19"/>
              </w:rPr>
              <w:t>2025-03-20</w:t>
            </w:r>
          </w:p>
        </w:tc>
        <w:tc>
          <w:tcPr>
            <w:tcW w:type="dxa" w:w="3384"/>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3384"/>
            <w:vAlign w:val="center"/>
            <w:tcMar>
              <w:top w:w="80" w:type="dxa"/>
              <w:start w:w="90" w:type="dxa"/>
              <w:bottom w:w="80" w:type="dxa"/>
              <w:end w:w="90" w:type="dxa"/>
            </w:tcMar>
          </w:tcPr>
          <w:p>
            <w:pPr>
              <w:jc w:val="center"/>
            </w:pPr>
            <w:r>
              <w:rPr>
                <w:rFonts w:ascii="Times New Roman" w:hAnsi="Times New Roman" w:eastAsia="宋体"/>
                <w:b w:val="0"/>
                <w:color w:val="000000"/>
                <w:sz w:val="19"/>
              </w:rPr>
              <w:t>4,370.726</w:t>
            </w:r>
          </w:p>
        </w:tc>
      </w:tr>
      <w:tr>
        <w:tc>
          <w:tcPr>
            <w:tcW w:type="dxa" w:w="25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2025-06-21</w:t>
            </w:r>
          </w:p>
        </w:tc>
        <w:tc>
          <w:tcPr>
            <w:tcW w:type="dxa" w:w="33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33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1,208.731</w:t>
            </w:r>
          </w:p>
        </w:tc>
      </w:tr>
      <w:tr>
        <w:tc>
          <w:tcPr>
            <w:tcW w:type="dxa" w:w="2592"/>
            <w:vAlign w:val="center"/>
            <w:tcMar>
              <w:top w:w="80" w:type="dxa"/>
              <w:start w:w="90" w:type="dxa"/>
              <w:bottom w:w="80" w:type="dxa"/>
              <w:end w:w="90" w:type="dxa"/>
            </w:tcMar>
          </w:tcPr>
          <w:p>
            <w:pPr>
              <w:jc w:val="center"/>
            </w:pPr>
            <w:r>
              <w:rPr>
                <w:rFonts w:ascii="Times New Roman" w:hAnsi="Times New Roman" w:eastAsia="宋体"/>
                <w:b w:val="0"/>
                <w:color w:val="000000"/>
                <w:sz w:val="19"/>
              </w:rPr>
              <w:t>2025-09-23</w:t>
            </w:r>
          </w:p>
        </w:tc>
        <w:tc>
          <w:tcPr>
            <w:tcW w:type="dxa" w:w="3384"/>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3384"/>
            <w:vAlign w:val="center"/>
            <w:tcMar>
              <w:top w:w="80" w:type="dxa"/>
              <w:start w:w="90" w:type="dxa"/>
              <w:bottom w:w="80" w:type="dxa"/>
              <w:end w:w="90" w:type="dxa"/>
            </w:tcMar>
          </w:tcPr>
          <w:p>
            <w:pPr>
              <w:jc w:val="center"/>
            </w:pPr>
            <w:r>
              <w:rPr>
                <w:rFonts w:ascii="Times New Roman" w:hAnsi="Times New Roman" w:eastAsia="宋体"/>
                <w:b w:val="0"/>
                <w:color w:val="000000"/>
                <w:sz w:val="19"/>
              </w:rPr>
              <w:t>3,438.372</w:t>
            </w:r>
          </w:p>
        </w:tc>
      </w:tr>
      <w:tr>
        <w:tc>
          <w:tcPr>
            <w:tcW w:type="dxa" w:w="25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2025-12-21</w:t>
            </w:r>
          </w:p>
        </w:tc>
        <w:tc>
          <w:tcPr>
            <w:tcW w:type="dxa" w:w="33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33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2,504.443</w:t>
            </w:r>
          </w:p>
        </w:tc>
      </w:tr>
    </w:tbl>
    <w:p>
      <w:pPr>
        <w:spacing w:after="40"/>
      </w:pPr>
    </w:p>
    <w:p>
      <w:pPr>
        <w:spacing w:line="360" w:lineRule="auto" w:after="80"/>
        <w:ind w:firstLine="420"/>
        <w:jc w:val="both"/>
      </w:pPr>
      <w:r>
        <w:rPr>
          <w:rFonts w:ascii="Times New Roman" w:hAnsi="Times New Roman" w:eastAsia="宋体"/>
          <w:b w:val="0"/>
          <w:color w:val="000000"/>
          <w:sz w:val="21"/>
        </w:rPr>
        <w:t>问题4-2仍为确定性已知场景，四个日期无需紧急购电；问题4-3的紧急购电量与问题三接近，但动态价格改变了储能和上调购电的优先时段。完整10分钟区间已写入result4-3.xlsx。</w:t>
      </w:r>
    </w:p>
    <w:p>
      <w:pPr>
        <w:pStyle w:val="Heading2"/>
        <w:keepNext/>
        <w:spacing w:before="120" w:after="100"/>
      </w:pPr>
      <w:r>
        <w:rPr>
          <w:rFonts w:ascii="Times New Roman" w:hAnsi="Times New Roman" w:eastAsia="黑体"/>
          <w:b/>
          <w:color w:val="000000"/>
          <w:sz w:val="25"/>
        </w:rPr>
        <w:t>9.4 动态电价的分布特征</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304"/>
            <w:shd w:fill="D9EAF7"/>
            <w:vAlign w:val="center"/>
          </w:tcPr>
          <w:p>
            <w:pPr>
              <w:keepNext/>
              <w:jc w:val="center"/>
            </w:pPr>
            <w:r>
              <w:rPr>
                <w:rFonts w:ascii="Times New Roman" w:hAnsi="Times New Roman" w:eastAsia="黑体"/>
                <w:b/>
                <w:color w:val="000000"/>
                <w:sz w:val="17"/>
              </w:rPr>
              <w:t>指标</w:t>
            </w:r>
          </w:p>
        </w:tc>
        <w:tc>
          <w:tcPr>
            <w:tcW w:type="dxa" w:w="2304"/>
            <w:shd w:fill="D9EAF7"/>
            <w:vAlign w:val="center"/>
          </w:tcPr>
          <w:p>
            <w:pPr>
              <w:keepNext/>
              <w:jc w:val="center"/>
            </w:pPr>
            <w:r>
              <w:rPr>
                <w:rFonts w:ascii="Times New Roman" w:hAnsi="Times New Roman" w:eastAsia="黑体"/>
                <w:b/>
                <w:color w:val="000000"/>
                <w:sz w:val="17"/>
              </w:rPr>
              <w:t>数值/元·kWh⁻¹</w:t>
            </w:r>
          </w:p>
        </w:tc>
        <w:tc>
          <w:tcPr>
            <w:tcW w:type="dxa" w:w="4752"/>
            <w:shd w:fill="D9EAF7"/>
            <w:vAlign w:val="center"/>
          </w:tcPr>
          <w:p>
            <w:pPr>
              <w:keepNext/>
              <w:jc w:val="center"/>
            </w:pPr>
            <w:r>
              <w:rPr>
                <w:rFonts w:ascii="Times New Roman" w:hAnsi="Times New Roman" w:eastAsia="黑体"/>
                <w:b/>
                <w:color w:val="000000"/>
                <w:sz w:val="17"/>
              </w:rPr>
              <w:t>含义</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固定电价均值</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0.7662</w:t>
            </w:r>
          </w:p>
        </w:tc>
        <w:tc>
          <w:tcPr>
            <w:tcW w:type="dxa" w:w="4752"/>
            <w:vAlign w:val="center"/>
            <w:tcMar>
              <w:top w:w="80" w:type="dxa"/>
              <w:start w:w="90" w:type="dxa"/>
              <w:bottom w:w="80" w:type="dxa"/>
              <w:end w:w="90" w:type="dxa"/>
            </w:tcMar>
          </w:tcPr>
          <w:p>
            <w:pPr>
              <w:jc w:val="center"/>
            </w:pPr>
            <w:r>
              <w:rPr>
                <w:rFonts w:ascii="Times New Roman" w:hAnsi="Times New Roman" w:eastAsia="宋体"/>
                <w:b w:val="0"/>
                <w:color w:val="000000"/>
                <w:sz w:val="17"/>
              </w:rPr>
              <w:t>附件1典型日144格均值</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动态电价均值</w:t>
            </w:r>
          </w:p>
        </w:tc>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0.7575</w:t>
            </w:r>
          </w:p>
        </w:tc>
        <w:tc>
          <w:tcPr>
            <w:tcW w:type="dxa" w:w="47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2月1日至12月31日全部区间</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动态电价标准差</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0.3360</w:t>
            </w:r>
          </w:p>
        </w:tc>
        <w:tc>
          <w:tcPr>
            <w:tcW w:type="dxa" w:w="4752"/>
            <w:vAlign w:val="center"/>
            <w:tcMar>
              <w:top w:w="80" w:type="dxa"/>
              <w:start w:w="90" w:type="dxa"/>
              <w:bottom w:w="80" w:type="dxa"/>
              <w:end w:w="90" w:type="dxa"/>
            </w:tcMar>
          </w:tcPr>
          <w:p>
            <w:pPr>
              <w:jc w:val="center"/>
            </w:pPr>
            <w:r>
              <w:rPr>
                <w:rFonts w:ascii="Times New Roman" w:hAnsi="Times New Roman" w:eastAsia="宋体"/>
                <w:b w:val="0"/>
                <w:color w:val="000000"/>
                <w:sz w:val="17"/>
              </w:rPr>
              <w:t>衡量逐日逐时波动</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动态电价5%分位</w:t>
            </w:r>
          </w:p>
        </w:tc>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0.3367</w:t>
            </w:r>
          </w:p>
        </w:tc>
        <w:tc>
          <w:tcPr>
            <w:tcW w:type="dxa" w:w="47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低价区间参考</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动态电价95%分位</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1.3246</w:t>
            </w:r>
          </w:p>
        </w:tc>
        <w:tc>
          <w:tcPr>
            <w:tcW w:type="dxa" w:w="4752"/>
            <w:vAlign w:val="center"/>
            <w:tcMar>
              <w:top w:w="80" w:type="dxa"/>
              <w:start w:w="90" w:type="dxa"/>
              <w:bottom w:w="80" w:type="dxa"/>
              <w:end w:w="90" w:type="dxa"/>
            </w:tcMar>
          </w:tcPr>
          <w:p>
            <w:pPr>
              <w:jc w:val="center"/>
            </w:pPr>
            <w:r>
              <w:rPr>
                <w:rFonts w:ascii="Times New Roman" w:hAnsi="Times New Roman" w:eastAsia="宋体"/>
                <w:b w:val="0"/>
                <w:color w:val="000000"/>
                <w:sz w:val="17"/>
              </w:rPr>
              <w:t>高价区间参考</w:t>
            </w:r>
          </w:p>
        </w:tc>
      </w:tr>
    </w:tbl>
    <w:p>
      <w:pPr>
        <w:spacing w:after="40"/>
      </w:pPr>
    </w:p>
    <w:p>
      <w:pPr>
        <w:spacing w:before="80" w:after="40"/>
        <w:jc w:val="center"/>
      </w:pPr>
      <w:r>
        <w:drawing>
          <wp:inline xmlns:a="http://schemas.openxmlformats.org/drawingml/2006/main" xmlns:pic="http://schemas.openxmlformats.org/drawingml/2006/picture">
            <wp:extent cx="5806440" cy="2612898"/>
            <wp:docPr id="7" name="Picture 7"/>
            <wp:cNvGraphicFramePr>
              <a:graphicFrameLocks noChangeAspect="1"/>
            </wp:cNvGraphicFramePr>
            <a:graphic>
              <a:graphicData uri="http://schemas.openxmlformats.org/drawingml/2006/picture">
                <pic:pic>
                  <pic:nvPicPr>
                    <pic:cNvPr id="0" name="monthly_price.png"/>
                    <pic:cNvPicPr/>
                  </pic:nvPicPr>
                  <pic:blipFill>
                    <a:blip r:embed="rId16"/>
                    <a:stretch>
                      <a:fillRect/>
                    </a:stretch>
                  </pic:blipFill>
                  <pic:spPr>
                    <a:xfrm>
                      <a:off x="0" y="0"/>
                      <a:ext cx="5806440" cy="2612898"/>
                    </a:xfrm>
                    <a:prstGeom prst="rect"/>
                  </pic:spPr>
                </pic:pic>
              </a:graphicData>
            </a:graphic>
          </wp:inline>
        </w:drawing>
      </w:r>
    </w:p>
    <w:p>
      <w:pPr>
        <w:keepNext/>
        <w:spacing w:before="100" w:after="80"/>
        <w:jc w:val="center"/>
      </w:pPr>
      <w:r>
        <w:rPr>
          <w:rFonts w:ascii="Times New Roman" w:hAnsi="Times New Roman" w:eastAsia="宋体"/>
          <w:b/>
          <w:color w:val="000000"/>
          <w:sz w:val="21"/>
        </w:rPr>
        <w:t>图7  动态电价月均值与日内波动</w:t>
      </w:r>
    </w:p>
    <w:p>
      <w:pPr>
        <w:spacing w:line="360" w:lineRule="auto" w:after="80"/>
        <w:ind w:firstLine="420"/>
        <w:jc w:val="both"/>
      </w:pPr>
      <w:r>
        <w:rPr>
          <w:rFonts w:ascii="Times New Roman" w:hAnsi="Times New Roman" w:eastAsia="宋体"/>
          <w:b w:val="0"/>
          <w:color w:val="000000"/>
          <w:sz w:val="21"/>
        </w:rPr>
        <w:t>动态电价与固定电价的总体均值接近，但动态电价标准差更大，5%至95%分位区间也更宽。因此问题四的主要变化不是长期平均购电单价，而是同一电量在不同日期和时段的边际费用。储能会转向当天更低价格区间充电，并在价格和净负载同时较高的区间放电。</w:t>
      </w:r>
    </w:p>
    <w:p>
      <w:pPr>
        <w:pStyle w:val="Heading2"/>
        <w:keepNext/>
        <w:spacing w:before="120" w:after="100"/>
      </w:pPr>
      <w:r>
        <w:rPr>
          <w:rFonts w:ascii="Times New Roman" w:hAnsi="Times New Roman" w:eastAsia="黑体"/>
          <w:b/>
          <w:color w:val="000000"/>
          <w:sz w:val="25"/>
        </w:rPr>
        <w:t>9.5 月度固定与动态结果比较</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008"/>
            <w:shd w:fill="D9EAF7"/>
            <w:vAlign w:val="center"/>
          </w:tcPr>
          <w:p>
            <w:pPr>
              <w:keepNext/>
              <w:jc w:val="center"/>
            </w:pPr>
            <w:r>
              <w:rPr>
                <w:rFonts w:ascii="Times New Roman" w:hAnsi="Times New Roman" w:eastAsia="黑体"/>
                <w:b/>
                <w:color w:val="000000"/>
                <w:sz w:val="16"/>
              </w:rPr>
              <w:t>月份</w:t>
            </w:r>
          </w:p>
        </w:tc>
        <w:tc>
          <w:tcPr>
            <w:tcW w:type="dxa" w:w="2232"/>
            <w:shd w:fill="D9EAF7"/>
            <w:vAlign w:val="center"/>
          </w:tcPr>
          <w:p>
            <w:pPr>
              <w:keepNext/>
              <w:jc w:val="center"/>
            </w:pPr>
            <w:r>
              <w:rPr>
                <w:rFonts w:ascii="Times New Roman" w:hAnsi="Times New Roman" w:eastAsia="黑体"/>
                <w:b/>
                <w:color w:val="000000"/>
                <w:sz w:val="16"/>
              </w:rPr>
              <w:t>问2固定费用/万元</w:t>
            </w:r>
          </w:p>
        </w:tc>
        <w:tc>
          <w:tcPr>
            <w:tcW w:type="dxa" w:w="2376"/>
            <w:shd w:fill="D9EAF7"/>
            <w:vAlign w:val="center"/>
          </w:tcPr>
          <w:p>
            <w:pPr>
              <w:keepNext/>
              <w:jc w:val="center"/>
            </w:pPr>
            <w:r>
              <w:rPr>
                <w:rFonts w:ascii="Times New Roman" w:hAnsi="Times New Roman" w:eastAsia="黑体"/>
                <w:b/>
                <w:color w:val="000000"/>
                <w:sz w:val="16"/>
              </w:rPr>
              <w:t>问4-2动态费用/万元</w:t>
            </w:r>
          </w:p>
        </w:tc>
        <w:tc>
          <w:tcPr>
            <w:tcW w:type="dxa" w:w="2232"/>
            <w:shd w:fill="D9EAF7"/>
            <w:vAlign w:val="center"/>
          </w:tcPr>
          <w:p>
            <w:pPr>
              <w:keepNext/>
              <w:jc w:val="center"/>
            </w:pPr>
            <w:r>
              <w:rPr>
                <w:rFonts w:ascii="Times New Roman" w:hAnsi="Times New Roman" w:eastAsia="黑体"/>
                <w:b/>
                <w:color w:val="000000"/>
                <w:sz w:val="16"/>
              </w:rPr>
              <w:t>问3物理购电/万kWh</w:t>
            </w:r>
          </w:p>
        </w:tc>
        <w:tc>
          <w:tcPr>
            <w:tcW w:type="dxa" w:w="2232"/>
            <w:shd w:fill="D9EAF7"/>
            <w:vAlign w:val="center"/>
          </w:tcPr>
          <w:p>
            <w:pPr>
              <w:keepNext/>
              <w:jc w:val="center"/>
            </w:pPr>
            <w:r>
              <w:rPr>
                <w:rFonts w:ascii="Times New Roman" w:hAnsi="Times New Roman" w:eastAsia="黑体"/>
                <w:b/>
                <w:color w:val="000000"/>
                <w:sz w:val="16"/>
              </w:rPr>
              <w:t>问4-3物理购电/万kWh</w:t>
            </w:r>
          </w:p>
        </w:tc>
      </w:tr>
      <w:tr>
        <w:tc>
          <w:tcPr>
            <w:tcW w:type="dxa" w:w="1008"/>
            <w:vAlign w:val="center"/>
            <w:tcMar>
              <w:top w:w="80" w:type="dxa"/>
              <w:start w:w="90" w:type="dxa"/>
              <w:bottom w:w="80" w:type="dxa"/>
              <w:end w:w="90" w:type="dxa"/>
            </w:tcMar>
          </w:tcPr>
          <w:p>
            <w:pPr>
              <w:jc w:val="center"/>
            </w:pPr>
            <w:r>
              <w:rPr>
                <w:rFonts w:ascii="Times New Roman" w:hAnsi="Times New Roman" w:eastAsia="宋体"/>
                <w:b w:val="0"/>
                <w:color w:val="000000"/>
                <w:sz w:val="16"/>
              </w:rPr>
              <w:t>2月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111.42</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6"/>
              </w:rPr>
              <w:t>116.18</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198.25</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198.78</w:t>
            </w:r>
          </w:p>
        </w:tc>
      </w:tr>
      <w:tr>
        <w:tc>
          <w:tcPr>
            <w:tcW w:type="dxa" w:w="100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102.57</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101.03</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188.63</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189.19</w:t>
            </w:r>
          </w:p>
        </w:tc>
      </w:tr>
      <w:tr>
        <w:tc>
          <w:tcPr>
            <w:tcW w:type="dxa" w:w="1008"/>
            <w:vAlign w:val="center"/>
            <w:tcMar>
              <w:top w:w="80" w:type="dxa"/>
              <w:start w:w="90" w:type="dxa"/>
              <w:bottom w:w="80" w:type="dxa"/>
              <w:end w:w="90" w:type="dxa"/>
            </w:tcMar>
          </w:tcPr>
          <w:p>
            <w:pPr>
              <w:jc w:val="center"/>
            </w:pPr>
            <w:r>
              <w:rPr>
                <w:rFonts w:ascii="Times New Roman" w:hAnsi="Times New Roman" w:eastAsia="宋体"/>
                <w:b w:val="0"/>
                <w:color w:val="000000"/>
                <w:sz w:val="16"/>
              </w:rPr>
              <w:t>4月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84.97</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6"/>
              </w:rPr>
              <w:t>82.10</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159.39</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160.24</w:t>
            </w:r>
          </w:p>
        </w:tc>
      </w:tr>
      <w:tr>
        <w:tc>
          <w:tcPr>
            <w:tcW w:type="dxa" w:w="100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85.70</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83.03</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156.92</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158.08</w:t>
            </w:r>
          </w:p>
        </w:tc>
      </w:tr>
      <w:tr>
        <w:tc>
          <w:tcPr>
            <w:tcW w:type="dxa" w:w="1008"/>
            <w:vAlign w:val="center"/>
            <w:tcMar>
              <w:top w:w="80" w:type="dxa"/>
              <w:start w:w="90" w:type="dxa"/>
              <w:bottom w:w="80" w:type="dxa"/>
              <w:end w:w="90" w:type="dxa"/>
            </w:tcMar>
          </w:tcPr>
          <w:p>
            <w:pPr>
              <w:jc w:val="center"/>
            </w:pPr>
            <w:r>
              <w:rPr>
                <w:rFonts w:ascii="Times New Roman" w:hAnsi="Times New Roman" w:eastAsia="宋体"/>
                <w:b w:val="0"/>
                <w:color w:val="000000"/>
                <w:sz w:val="16"/>
              </w:rPr>
              <w:t>6月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116.03</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6"/>
              </w:rPr>
              <w:t>122.57</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204.91</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205.17</w:t>
            </w:r>
          </w:p>
        </w:tc>
      </w:tr>
      <w:tr>
        <w:tc>
          <w:tcPr>
            <w:tcW w:type="dxa" w:w="100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131.98</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150.12</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227.66</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228.34</w:t>
            </w:r>
          </w:p>
        </w:tc>
      </w:tr>
      <w:tr>
        <w:tc>
          <w:tcPr>
            <w:tcW w:type="dxa" w:w="1008"/>
            <w:vAlign w:val="center"/>
            <w:tcMar>
              <w:top w:w="80" w:type="dxa"/>
              <w:start w:w="90" w:type="dxa"/>
              <w:bottom w:w="80" w:type="dxa"/>
              <w:end w:w="90" w:type="dxa"/>
            </w:tcMar>
          </w:tcPr>
          <w:p>
            <w:pPr>
              <w:jc w:val="center"/>
            </w:pPr>
            <w:r>
              <w:rPr>
                <w:rFonts w:ascii="Times New Roman" w:hAnsi="Times New Roman" w:eastAsia="宋体"/>
                <w:b w:val="0"/>
                <w:color w:val="000000"/>
                <w:sz w:val="16"/>
              </w:rPr>
              <w:t>8月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116.39</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6"/>
              </w:rPr>
              <w:t>128.07</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200.99</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202.37</w:t>
            </w:r>
          </w:p>
        </w:tc>
      </w:tr>
      <w:tr>
        <w:tc>
          <w:tcPr>
            <w:tcW w:type="dxa" w:w="100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99.19</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99.07</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177.26</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177.82</w:t>
            </w:r>
          </w:p>
        </w:tc>
      </w:tr>
      <w:tr>
        <w:tc>
          <w:tcPr>
            <w:tcW w:type="dxa" w:w="1008"/>
            <w:vAlign w:val="center"/>
            <w:tcMar>
              <w:top w:w="80" w:type="dxa"/>
              <w:start w:w="90" w:type="dxa"/>
              <w:bottom w:w="80" w:type="dxa"/>
              <w:end w:w="90" w:type="dxa"/>
            </w:tcMar>
          </w:tcPr>
          <w:p>
            <w:pPr>
              <w:jc w:val="center"/>
            </w:pPr>
            <w:r>
              <w:rPr>
                <w:rFonts w:ascii="Times New Roman" w:hAnsi="Times New Roman" w:eastAsia="宋体"/>
                <w:b w:val="0"/>
                <w:color w:val="000000"/>
                <w:sz w:val="16"/>
              </w:rPr>
              <w:t>10月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101.97</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6"/>
              </w:rPr>
              <w:t>100.54</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186.39</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187.09</w:t>
            </w:r>
          </w:p>
        </w:tc>
      </w:tr>
      <w:tr>
        <w:tc>
          <w:tcPr>
            <w:tcW w:type="dxa" w:w="100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118.08</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121.96</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206.14</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206.09</w:t>
            </w:r>
          </w:p>
        </w:tc>
      </w:tr>
      <w:tr>
        <w:tc>
          <w:tcPr>
            <w:tcW w:type="dxa" w:w="1008"/>
            <w:vAlign w:val="center"/>
            <w:tcMar>
              <w:top w:w="80" w:type="dxa"/>
              <w:start w:w="90" w:type="dxa"/>
              <w:bottom w:w="80" w:type="dxa"/>
              <w:end w:w="90" w:type="dxa"/>
            </w:tcMar>
          </w:tcPr>
          <w:p>
            <w:pPr>
              <w:jc w:val="center"/>
            </w:pPr>
            <w:r>
              <w:rPr>
                <w:rFonts w:ascii="Times New Roman" w:hAnsi="Times New Roman" w:eastAsia="宋体"/>
                <w:b w:val="0"/>
                <w:color w:val="000000"/>
                <w:sz w:val="16"/>
              </w:rPr>
              <w:t>12月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154.64</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6"/>
              </w:rPr>
              <w:t>173.58</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261.79</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261.77</w:t>
            </w:r>
          </w:p>
        </w:tc>
      </w:tr>
    </w:tbl>
    <w:p>
      <w:pPr>
        <w:spacing w:after="40"/>
      </w:pPr>
    </w:p>
    <w:p>
      <w:pPr>
        <w:spacing w:line="360" w:lineRule="auto" w:after="80"/>
        <w:ind w:firstLine="420"/>
        <w:jc w:val="both"/>
      </w:pPr>
      <w:r>
        <w:rPr>
          <w:rFonts w:ascii="Times New Roman" w:hAnsi="Times New Roman" w:eastAsia="宋体"/>
          <w:b w:val="0"/>
          <w:color w:val="000000"/>
          <w:sz w:val="21"/>
        </w:rPr>
        <w:t>动态电价相对固定电价的月度费用增量在12月最大。其中3月、4月、5月、9月、10月的动态费用低于固定费用，说明全年总费用增加并不是把固定价格统一上调得到的，而是逐月电价形状与净负载共同作用的结果。问题4-3的物理购电量与问题三接近，费用差异主要来自购电时点和偏差发生时点的动态价格。</w:t>
      </w:r>
    </w:p>
    <w:p>
      <w:pPr>
        <w:pStyle w:val="Heading2"/>
        <w:keepNext/>
        <w:spacing w:before="120" w:after="100"/>
      </w:pPr>
      <w:r>
        <w:rPr>
          <w:rFonts w:ascii="Times New Roman" w:hAnsi="Times New Roman" w:eastAsia="黑体"/>
          <w:b/>
          <w:color w:val="000000"/>
          <w:sz w:val="25"/>
        </w:rPr>
        <w:t>9.6 动态滚动费用分解</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088"/>
            <w:shd w:fill="D9EAF7"/>
            <w:vAlign w:val="center"/>
          </w:tcPr>
          <w:p>
            <w:pPr>
              <w:keepNext/>
              <w:jc w:val="center"/>
            </w:pPr>
            <w:r>
              <w:rPr>
                <w:rFonts w:ascii="Times New Roman" w:hAnsi="Times New Roman" w:eastAsia="黑体"/>
                <w:b/>
                <w:color w:val="000000"/>
                <w:sz w:val="16"/>
              </w:rPr>
              <w:t>费用项目</w:t>
            </w:r>
          </w:p>
        </w:tc>
        <w:tc>
          <w:tcPr>
            <w:tcW w:type="dxa" w:w="2520"/>
            <w:shd w:fill="D9EAF7"/>
            <w:vAlign w:val="center"/>
          </w:tcPr>
          <w:p>
            <w:pPr>
              <w:keepNext/>
              <w:jc w:val="center"/>
            </w:pPr>
            <w:r>
              <w:rPr>
                <w:rFonts w:ascii="Times New Roman" w:hAnsi="Times New Roman" w:eastAsia="黑体"/>
                <w:b/>
                <w:color w:val="000000"/>
                <w:sz w:val="16"/>
              </w:rPr>
              <w:t>问题三固定电价/元</w:t>
            </w:r>
          </w:p>
        </w:tc>
        <w:tc>
          <w:tcPr>
            <w:tcW w:type="dxa" w:w="2592"/>
            <w:shd w:fill="D9EAF7"/>
            <w:vAlign w:val="center"/>
          </w:tcPr>
          <w:p>
            <w:pPr>
              <w:keepNext/>
              <w:jc w:val="center"/>
            </w:pPr>
            <w:r>
              <w:rPr>
                <w:rFonts w:ascii="Times New Roman" w:hAnsi="Times New Roman" w:eastAsia="黑体"/>
                <w:b/>
                <w:color w:val="000000"/>
                <w:sz w:val="16"/>
              </w:rPr>
              <w:t>问题4-3动态电价/元</w:t>
            </w:r>
          </w:p>
        </w:tc>
        <w:tc>
          <w:tcPr>
            <w:tcW w:type="dxa" w:w="2160"/>
            <w:shd w:fill="D9EAF7"/>
            <w:vAlign w:val="center"/>
          </w:tcPr>
          <w:p>
            <w:pPr>
              <w:keepNext/>
              <w:jc w:val="center"/>
            </w:pPr>
            <w:r>
              <w:rPr>
                <w:rFonts w:ascii="Times New Roman" w:hAnsi="Times New Roman" w:eastAsia="黑体"/>
                <w:b/>
                <w:color w:val="000000"/>
                <w:sz w:val="16"/>
              </w:rPr>
              <w:t>动态相对变化/%</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计划购电费</w:t>
            </w:r>
          </w:p>
        </w:tc>
        <w:tc>
          <w:tcPr>
            <w:tcW w:type="dxa" w:w="2520"/>
            <w:vAlign w:val="center"/>
            <w:tcMar>
              <w:top w:w="80" w:type="dxa"/>
              <w:start w:w="90" w:type="dxa"/>
              <w:bottom w:w="80" w:type="dxa"/>
              <w:end w:w="90" w:type="dxa"/>
            </w:tcMar>
          </w:tcPr>
          <w:p>
            <w:pPr>
              <w:jc w:val="center"/>
            </w:pPr>
            <w:r>
              <w:rPr>
                <w:rFonts w:ascii="Times New Roman" w:hAnsi="Times New Roman" w:eastAsia="宋体"/>
                <w:b w:val="0"/>
                <w:color w:val="000000"/>
                <w:sz w:val="16"/>
              </w:rPr>
              <w:t>12,570,533.914</w:t>
            </w:r>
          </w:p>
        </w:tc>
        <w:tc>
          <w:tcPr>
            <w:tcW w:type="dxa" w:w="2592"/>
            <w:vAlign w:val="center"/>
            <w:tcMar>
              <w:top w:w="80" w:type="dxa"/>
              <w:start w:w="90" w:type="dxa"/>
              <w:bottom w:w="80" w:type="dxa"/>
              <w:end w:w="90" w:type="dxa"/>
            </w:tcMar>
          </w:tcPr>
          <w:p>
            <w:pPr>
              <w:jc w:val="center"/>
            </w:pPr>
            <w:r>
              <w:rPr>
                <w:rFonts w:ascii="Times New Roman" w:hAnsi="Times New Roman" w:eastAsia="宋体"/>
                <w:b w:val="0"/>
                <w:color w:val="000000"/>
                <w:sz w:val="16"/>
              </w:rPr>
              <w:t>13,137,263.414</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4.508</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调整费用</w:t>
            </w:r>
          </w:p>
        </w:tc>
        <w:tc>
          <w:tcPr>
            <w:tcW w:type="dxa" w:w="252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392,819.339</w:t>
            </w:r>
          </w:p>
        </w:tc>
        <w:tc>
          <w:tcPr>
            <w:tcW w:type="dxa" w:w="25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424,527.861</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8.072</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紧急购电费</w:t>
            </w:r>
          </w:p>
        </w:tc>
        <w:tc>
          <w:tcPr>
            <w:tcW w:type="dxa" w:w="2520"/>
            <w:vAlign w:val="center"/>
            <w:tcMar>
              <w:top w:w="80" w:type="dxa"/>
              <w:start w:w="90" w:type="dxa"/>
              <w:bottom w:w="80" w:type="dxa"/>
              <w:end w:w="90" w:type="dxa"/>
            </w:tcMar>
          </w:tcPr>
          <w:p>
            <w:pPr>
              <w:jc w:val="center"/>
            </w:pPr>
            <w:r>
              <w:rPr>
                <w:rFonts w:ascii="Times New Roman" w:hAnsi="Times New Roman" w:eastAsia="宋体"/>
                <w:b w:val="0"/>
                <w:color w:val="000000"/>
                <w:sz w:val="16"/>
              </w:rPr>
              <w:t>3,753,373.529</w:t>
            </w:r>
          </w:p>
        </w:tc>
        <w:tc>
          <w:tcPr>
            <w:tcW w:type="dxa" w:w="2592"/>
            <w:vAlign w:val="center"/>
            <w:tcMar>
              <w:top w:w="80" w:type="dxa"/>
              <w:start w:w="90" w:type="dxa"/>
              <w:bottom w:w="80" w:type="dxa"/>
              <w:end w:w="90" w:type="dxa"/>
            </w:tcMar>
          </w:tcPr>
          <w:p>
            <w:pPr>
              <w:jc w:val="center"/>
            </w:pPr>
            <w:r>
              <w:rPr>
                <w:rFonts w:ascii="Times New Roman" w:hAnsi="Times New Roman" w:eastAsia="宋体"/>
                <w:b w:val="0"/>
                <w:color w:val="000000"/>
                <w:sz w:val="16"/>
              </w:rPr>
              <w:t>3,857,555.189</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2.776</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总费用</w:t>
            </w:r>
          </w:p>
        </w:tc>
        <w:tc>
          <w:tcPr>
            <w:tcW w:type="dxa" w:w="252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16,716,726.782</w:t>
            </w:r>
          </w:p>
        </w:tc>
        <w:tc>
          <w:tcPr>
            <w:tcW w:type="dxa" w:w="25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17,419,346.464</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4.203</w:t>
            </w:r>
          </w:p>
        </w:tc>
      </w:tr>
    </w:tbl>
    <w:p>
      <w:pPr>
        <w:spacing w:after="40"/>
      </w:pPr>
    </w:p>
    <w:p>
      <w:pPr>
        <w:spacing w:line="360" w:lineRule="auto" w:after="80"/>
        <w:ind w:firstLine="420"/>
        <w:jc w:val="both"/>
      </w:pPr>
      <w:r>
        <w:rPr>
          <w:rFonts w:ascii="Times New Roman" w:hAnsi="Times New Roman" w:eastAsia="宋体"/>
          <w:b w:val="0"/>
          <w:color w:val="000000"/>
          <w:sz w:val="21"/>
        </w:rPr>
        <w:t>问题4-2相对问题二总费用增加4.523%，问题4-3相对问题三增加4.203%。两个增幅接近，说明动态价格对确定性计划和滚动计划都有稳定影响；滚动预测带来的应急电量下降仍然存在，但无法完全抵消高价时段与预测不足重合造成的费用增加。</w:t>
      </w:r>
    </w:p>
    <w:p>
      <w:pPr>
        <w:pStyle w:val="Heading1"/>
        <w:keepNext/>
        <w:spacing w:before="200" w:after="100"/>
      </w:pPr>
      <w:r>
        <w:rPr>
          <w:rFonts w:ascii="Times New Roman" w:hAnsi="Times New Roman" w:eastAsia="黑体"/>
          <w:b/>
          <w:color w:val="000000"/>
          <w:sz w:val="30"/>
        </w:rPr>
        <w:t>10  模型检验与可靠性分析</w:t>
      </w:r>
    </w:p>
    <w:p>
      <w:pPr>
        <w:pStyle w:val="Heading2"/>
        <w:keepNext/>
        <w:spacing w:before="120" w:after="100"/>
      </w:pPr>
      <w:r>
        <w:rPr>
          <w:rFonts w:ascii="Times New Roman" w:hAnsi="Times New Roman" w:eastAsia="黑体"/>
          <w:b/>
          <w:color w:val="000000"/>
          <w:sz w:val="25"/>
        </w:rPr>
        <w:t>10.1 数值可行性审计</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936"/>
            <w:shd w:fill="D9EAF7"/>
            <w:vAlign w:val="center"/>
          </w:tcPr>
          <w:p>
            <w:pPr>
              <w:keepNext/>
              <w:jc w:val="center"/>
            </w:pPr>
            <w:r>
              <w:rPr>
                <w:rFonts w:ascii="Times New Roman" w:hAnsi="Times New Roman" w:eastAsia="黑体"/>
                <w:b/>
                <w:color w:val="000000"/>
                <w:sz w:val="15"/>
              </w:rPr>
              <w:t>模型</w:t>
            </w:r>
          </w:p>
        </w:tc>
        <w:tc>
          <w:tcPr>
            <w:tcW w:type="dxa" w:w="1656"/>
            <w:shd w:fill="D9EAF7"/>
            <w:vAlign w:val="center"/>
          </w:tcPr>
          <w:p>
            <w:pPr>
              <w:keepNext/>
              <w:jc w:val="center"/>
            </w:pPr>
            <w:r>
              <w:rPr>
                <w:rFonts w:ascii="Times New Roman" w:hAnsi="Times New Roman" w:eastAsia="黑体"/>
                <w:b/>
                <w:color w:val="000000"/>
                <w:sz w:val="15"/>
              </w:rPr>
              <w:t>最大平衡误差/kWh</w:t>
            </w:r>
          </w:p>
        </w:tc>
        <w:tc>
          <w:tcPr>
            <w:tcW w:type="dxa" w:w="1656"/>
            <w:shd w:fill="D9EAF7"/>
            <w:vAlign w:val="center"/>
          </w:tcPr>
          <w:p>
            <w:pPr>
              <w:keepNext/>
              <w:jc w:val="center"/>
            </w:pPr>
            <w:r>
              <w:rPr>
                <w:rFonts w:ascii="Times New Roman" w:hAnsi="Times New Roman" w:eastAsia="黑体"/>
                <w:b/>
                <w:color w:val="000000"/>
                <w:sz w:val="15"/>
              </w:rPr>
              <w:t>最大SOC误差/kWh</w:t>
            </w:r>
          </w:p>
        </w:tc>
        <w:tc>
          <w:tcPr>
            <w:tcW w:type="dxa" w:w="1944"/>
            <w:shd w:fill="D9EAF7"/>
            <w:vAlign w:val="center"/>
          </w:tcPr>
          <w:p>
            <w:pPr>
              <w:keepNext/>
              <w:jc w:val="center"/>
            </w:pPr>
            <w:r>
              <w:rPr>
                <w:rFonts w:ascii="Times New Roman" w:hAnsi="Times New Roman" w:eastAsia="黑体"/>
                <w:b/>
                <w:color w:val="000000"/>
                <w:sz w:val="15"/>
              </w:rPr>
              <w:t>SOC范围/kWh</w:t>
            </w:r>
          </w:p>
        </w:tc>
        <w:tc>
          <w:tcPr>
            <w:tcW w:type="dxa" w:w="2088"/>
            <w:shd w:fill="D9EAF7"/>
            <w:vAlign w:val="center"/>
          </w:tcPr>
          <w:p>
            <w:pPr>
              <w:keepNext/>
              <w:jc w:val="center"/>
            </w:pPr>
            <w:r>
              <w:rPr>
                <w:rFonts w:ascii="Times New Roman" w:hAnsi="Times New Roman" w:eastAsia="黑体"/>
                <w:b/>
                <w:color w:val="000000"/>
                <w:sz w:val="15"/>
              </w:rPr>
              <w:t>最大充/放电/kWh</w:t>
            </w:r>
          </w:p>
        </w:tc>
        <w:tc>
          <w:tcPr>
            <w:tcW w:type="dxa" w:w="1080"/>
            <w:shd w:fill="D9EAF7"/>
            <w:vAlign w:val="center"/>
          </w:tcPr>
          <w:p>
            <w:pPr>
              <w:keepNext/>
              <w:jc w:val="center"/>
            </w:pPr>
            <w:r>
              <w:rPr>
                <w:rFonts w:ascii="Times New Roman" w:hAnsi="Times New Roman" w:eastAsia="黑体"/>
                <w:b/>
                <w:color w:val="000000"/>
                <w:sz w:val="15"/>
              </w:rPr>
              <w:t>首尾状态</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5"/>
              </w:rPr>
              <w:t>问题1</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2.27e-13</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8.31e-13</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833.333/715.653</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5"/>
              </w:rPr>
              <w:t>通过</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问题2</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2.27e-13</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1.02e-12</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833.333/833.333</w:t>
            </w:r>
          </w:p>
        </w:tc>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通过</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5"/>
              </w:rPr>
              <w:t>问题3</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3.30e-12</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1.18e-11</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833.333/833.333</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5"/>
              </w:rPr>
              <w:t>通过</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问题4-2</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2.27e-13</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1.02e-12</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833.333/833.333</w:t>
            </w:r>
          </w:p>
        </w:tc>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通过</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5"/>
              </w:rPr>
              <w:t>问题4-3</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2.16e-12</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6.82e-12</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833.333/833.333</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5"/>
              </w:rPr>
              <w:t>通过</w:t>
            </w:r>
          </w:p>
        </w:tc>
      </w:tr>
    </w:tbl>
    <w:p>
      <w:pPr>
        <w:spacing w:after="40"/>
      </w:pPr>
    </w:p>
    <w:p>
      <w:pPr>
        <w:spacing w:line="360" w:lineRule="auto" w:after="80"/>
        <w:ind w:firstLine="420"/>
        <w:jc w:val="both"/>
      </w:pPr>
      <w:r>
        <w:rPr>
          <w:rFonts w:ascii="Times New Roman" w:hAnsi="Times New Roman" w:eastAsia="宋体"/>
          <w:b w:val="0"/>
          <w:color w:val="000000"/>
          <w:sz w:val="21"/>
        </w:rPr>
        <w:t>五个模型的功率平衡和SOC递推残差均远小于10^-5 kWh容差。SOC最小值与最大值仅在10^-12量级上越过边界，属于浮点求解误差；每格最大充放电量不超过833.333 kWh，所有首尾状态和跨日连续性约束均通过。</w:t>
      </w:r>
    </w:p>
    <w:p>
      <w:pPr>
        <w:pStyle w:val="Heading2"/>
        <w:keepNext/>
        <w:spacing w:before="120" w:after="100"/>
      </w:pPr>
      <w:r>
        <w:rPr>
          <w:rFonts w:ascii="Times New Roman" w:hAnsi="Times New Roman" w:eastAsia="黑体"/>
          <w:b/>
          <w:color w:val="000000"/>
          <w:sz w:val="25"/>
        </w:rPr>
        <w:t>10.2 时间轴与工作簿回归检查</w:t>
      </w:r>
    </w:p>
    <w:p>
      <w:pPr>
        <w:spacing w:line="360" w:lineRule="auto" w:after="80"/>
        <w:ind w:left="420" w:hanging="420"/>
        <w:jc w:val="both"/>
      </w:pPr>
      <w:r>
        <w:rPr>
          <w:rFonts w:ascii="Times New Roman" w:hAnsi="Times New Roman" w:eastAsia="宋体"/>
          <w:b w:val="0"/>
          <w:color w:val="000000"/>
          <w:sz w:val="21"/>
        </w:rPr>
        <w:t>（1）时间标签共144个，首格必须为0:00-0:10，第6格为0:50-1:00，第7格为1:00-1:10，末格为23:50-0:00+1。</w:t>
      </w:r>
    </w:p>
    <w:p>
      <w:pPr>
        <w:spacing w:line="360" w:lineRule="auto" w:after="80"/>
        <w:ind w:left="420" w:hanging="420"/>
        <w:jc w:val="both"/>
      </w:pPr>
      <w:r>
        <w:rPr>
          <w:rFonts w:ascii="Times New Roman" w:hAnsi="Times New Roman" w:eastAsia="宋体"/>
          <w:b w:val="0"/>
          <w:color w:val="000000"/>
          <w:sz w:val="21"/>
        </w:rPr>
        <w:t>（2）紧急购电相邻区间按物理左端0:00开始合并；测试向量的第2-3格必须输出0:10-0:30，而不是0:20-0:40。</w:t>
      </w:r>
    </w:p>
    <w:p>
      <w:pPr>
        <w:spacing w:line="360" w:lineRule="auto" w:after="80"/>
        <w:ind w:left="420" w:hanging="420"/>
        <w:jc w:val="both"/>
      </w:pPr>
      <w:r>
        <w:rPr>
          <w:rFonts w:ascii="Times New Roman" w:hAnsi="Times New Roman" w:eastAsia="宋体"/>
          <w:b w:val="0"/>
          <w:color w:val="000000"/>
          <w:sz w:val="21"/>
        </w:rPr>
        <w:t>（3）问题一指定时段按修正标签取值；10:00-10:10对应数组索引60，避免原模板索引59造成的一格偏差。</w:t>
      </w:r>
    </w:p>
    <w:p>
      <w:pPr>
        <w:spacing w:line="360" w:lineRule="auto" w:after="80"/>
        <w:ind w:left="420" w:hanging="420"/>
        <w:jc w:val="both"/>
      </w:pPr>
      <w:r>
        <w:rPr>
          <w:rFonts w:ascii="Times New Roman" w:hAnsi="Times New Roman" w:eastAsia="宋体"/>
          <w:b w:val="0"/>
          <w:color w:val="000000"/>
          <w:sz w:val="21"/>
        </w:rPr>
        <w:t>（4）全部15项自动化测试通过；五个工作簿的工作表名、表头样式、334个日期、计划单元格完整性和时间标签均通过检查。</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2232"/>
            <w:shd w:fill="D9EAF7"/>
            <w:vAlign w:val="center"/>
          </w:tcPr>
          <w:p>
            <w:pPr>
              <w:keepNext/>
              <w:jc w:val="center"/>
            </w:pPr>
            <w:r>
              <w:rPr>
                <w:rFonts w:ascii="Times New Roman" w:hAnsi="Times New Roman" w:eastAsia="黑体"/>
                <w:b/>
                <w:color w:val="000000"/>
                <w:sz w:val="17"/>
              </w:rPr>
              <w:t>结果文件</w:t>
            </w:r>
          </w:p>
        </w:tc>
        <w:tc>
          <w:tcPr>
            <w:tcW w:type="dxa" w:w="1656"/>
            <w:shd w:fill="D9EAF7"/>
            <w:vAlign w:val="center"/>
          </w:tcPr>
          <w:p>
            <w:pPr>
              <w:keepNext/>
              <w:jc w:val="center"/>
            </w:pPr>
            <w:r>
              <w:rPr>
                <w:rFonts w:ascii="Times New Roman" w:hAnsi="Times New Roman" w:eastAsia="黑体"/>
                <w:b/>
                <w:color w:val="000000"/>
                <w:sz w:val="17"/>
              </w:rPr>
              <w:t>工作表名称</w:t>
            </w:r>
          </w:p>
        </w:tc>
        <w:tc>
          <w:tcPr>
            <w:tcW w:type="dxa" w:w="1656"/>
            <w:shd w:fill="D9EAF7"/>
            <w:vAlign w:val="center"/>
          </w:tcPr>
          <w:p>
            <w:pPr>
              <w:keepNext/>
              <w:jc w:val="center"/>
            </w:pPr>
            <w:r>
              <w:rPr>
                <w:rFonts w:ascii="Times New Roman" w:hAnsi="Times New Roman" w:eastAsia="黑体"/>
                <w:b/>
                <w:color w:val="000000"/>
                <w:sz w:val="17"/>
              </w:rPr>
              <w:t>时间标签</w:t>
            </w:r>
          </w:p>
        </w:tc>
        <w:tc>
          <w:tcPr>
            <w:tcW w:type="dxa" w:w="1656"/>
            <w:shd w:fill="D9EAF7"/>
            <w:vAlign w:val="center"/>
          </w:tcPr>
          <w:p>
            <w:pPr>
              <w:keepNext/>
              <w:jc w:val="center"/>
            </w:pPr>
            <w:r>
              <w:rPr>
                <w:rFonts w:ascii="Times New Roman" w:hAnsi="Times New Roman" w:eastAsia="黑体"/>
                <w:b/>
                <w:color w:val="000000"/>
                <w:sz w:val="17"/>
              </w:rPr>
              <w:t>表头样式</w:t>
            </w:r>
          </w:p>
        </w:tc>
        <w:tc>
          <w:tcPr>
            <w:tcW w:type="dxa" w:w="2160"/>
            <w:shd w:fill="D9EAF7"/>
            <w:vAlign w:val="center"/>
          </w:tcPr>
          <w:p>
            <w:pPr>
              <w:keepNext/>
              <w:jc w:val="center"/>
            </w:pPr>
            <w:r>
              <w:rPr>
                <w:rFonts w:ascii="Times New Roman" w:hAnsi="Times New Roman" w:eastAsia="黑体"/>
                <w:b/>
                <w:color w:val="000000"/>
                <w:sz w:val="17"/>
              </w:rPr>
              <w:t>计划数据</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result1.xlsx</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7"/>
              </w:rPr>
              <w:t>完整</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result2.xlsx</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完整</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result3.xlsx</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7"/>
              </w:rPr>
              <w:t>完整</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result4-2.xlsx</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完整</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result4-3.xlsx</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7"/>
              </w:rPr>
              <w:t>完整</w:t>
            </w:r>
          </w:p>
        </w:tc>
      </w:tr>
    </w:tbl>
    <w:p>
      <w:pPr>
        <w:spacing w:after="40"/>
      </w:pPr>
    </w:p>
    <w:p>
      <w:pPr>
        <w:pStyle w:val="Heading2"/>
        <w:keepNext/>
        <w:spacing w:before="120" w:after="100"/>
      </w:pPr>
      <w:r>
        <w:rPr>
          <w:rFonts w:ascii="Times New Roman" w:hAnsi="Times New Roman" w:eastAsia="黑体"/>
          <w:b/>
          <w:color w:val="000000"/>
          <w:sz w:val="25"/>
        </w:rPr>
        <w:t>10.3 稳健性与基准检验</w:t>
      </w:r>
    </w:p>
    <w:p>
      <w:pPr>
        <w:spacing w:line="360" w:lineRule="auto" w:after="80"/>
        <w:ind w:firstLine="420"/>
        <w:jc w:val="both"/>
      </w:pPr>
      <w:r>
        <w:rPr>
          <w:rFonts w:ascii="Times New Roman" w:hAnsi="Times New Roman" w:eastAsia="宋体"/>
          <w:b w:val="0"/>
          <w:color w:val="000000"/>
          <w:sz w:val="21"/>
        </w:rPr>
        <w:t>模型通过三个相互独立的方向检验：问题一以无储能方案为经济基准，验证储能确实降低费用；效率敏感性验证损耗参数变化时结果方向正确且连续；问题三和问题四分别与仅使用0点预测的方案比较，验证新增发布时刻带来的费用下降不是模型复杂化造成的表面改善。</w:t>
      </w:r>
    </w:p>
    <w:p>
      <w:pPr>
        <w:pStyle w:val="Heading2"/>
        <w:keepNext/>
        <w:spacing w:before="120" w:after="100"/>
      </w:pPr>
      <w:r>
        <w:rPr>
          <w:rFonts w:ascii="Times New Roman" w:hAnsi="Times New Roman" w:eastAsia="黑体"/>
          <w:b/>
          <w:color w:val="000000"/>
          <w:sz w:val="25"/>
        </w:rPr>
        <w:t>10.4 单位与边界条件审计</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656"/>
            <w:shd w:fill="D9EAF7"/>
            <w:vAlign w:val="center"/>
          </w:tcPr>
          <w:p>
            <w:pPr>
              <w:keepNext/>
              <w:jc w:val="center"/>
            </w:pPr>
            <w:r>
              <w:rPr>
                <w:rFonts w:ascii="Times New Roman" w:hAnsi="Times New Roman" w:eastAsia="黑体"/>
                <w:b/>
                <w:color w:val="000000"/>
                <w:sz w:val="16"/>
              </w:rPr>
              <w:t>项目</w:t>
            </w:r>
          </w:p>
        </w:tc>
        <w:tc>
          <w:tcPr>
            <w:tcW w:type="dxa" w:w="1728"/>
            <w:shd w:fill="D9EAF7"/>
            <w:vAlign w:val="center"/>
          </w:tcPr>
          <w:p>
            <w:pPr>
              <w:keepNext/>
              <w:jc w:val="center"/>
            </w:pPr>
            <w:r>
              <w:rPr>
                <w:rFonts w:ascii="Times New Roman" w:hAnsi="Times New Roman" w:eastAsia="黑体"/>
                <w:b/>
                <w:color w:val="000000"/>
                <w:sz w:val="16"/>
              </w:rPr>
              <w:t>输入单位</w:t>
            </w:r>
          </w:p>
        </w:tc>
        <w:tc>
          <w:tcPr>
            <w:tcW w:type="dxa" w:w="1800"/>
            <w:shd w:fill="D9EAF7"/>
            <w:vAlign w:val="center"/>
          </w:tcPr>
          <w:p>
            <w:pPr>
              <w:keepNext/>
              <w:jc w:val="center"/>
            </w:pPr>
            <w:r>
              <w:rPr>
                <w:rFonts w:ascii="Times New Roman" w:hAnsi="Times New Roman" w:eastAsia="黑体"/>
                <w:b/>
                <w:color w:val="000000"/>
                <w:sz w:val="16"/>
              </w:rPr>
              <w:t>模型单位</w:t>
            </w:r>
          </w:p>
        </w:tc>
        <w:tc>
          <w:tcPr>
            <w:tcW w:type="dxa" w:w="3096"/>
            <w:shd w:fill="D9EAF7"/>
            <w:vAlign w:val="center"/>
          </w:tcPr>
          <w:p>
            <w:pPr>
              <w:keepNext/>
              <w:jc w:val="center"/>
            </w:pPr>
            <w:r>
              <w:rPr>
                <w:rFonts w:ascii="Times New Roman" w:hAnsi="Times New Roman" w:eastAsia="黑体"/>
                <w:b/>
                <w:color w:val="000000"/>
                <w:sz w:val="16"/>
              </w:rPr>
              <w:t>换算或约束</w:t>
            </w:r>
          </w:p>
        </w:tc>
        <w:tc>
          <w:tcPr>
            <w:tcW w:type="dxa" w:w="1080"/>
            <w:shd w:fill="D9EAF7"/>
            <w:vAlign w:val="center"/>
          </w:tcPr>
          <w:p>
            <w:pPr>
              <w:keepNext/>
              <w:jc w:val="center"/>
            </w:pPr>
            <w:r>
              <w:rPr>
                <w:rFonts w:ascii="Times New Roman" w:hAnsi="Times New Roman" w:eastAsia="黑体"/>
                <w:b/>
                <w:color w:val="000000"/>
                <w:sz w:val="16"/>
              </w:rPr>
              <w:t>审计结果</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负载与光伏</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kW</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6"/>
              </w:rPr>
              <w:t>kWh/格</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6"/>
              </w:rPr>
              <w:t>乘10/60小时</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通过</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充放电功率</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kW</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kWh/格</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5000×1/6=833.333</w:t>
            </w:r>
          </w:p>
        </w:tc>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通过</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储能状态</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kWh</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6"/>
              </w:rPr>
              <w:t>kWh</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6"/>
              </w:rPr>
              <w:t>1200≤SOC≤10800</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通过</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电价</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元/kWh</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元/kWh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与电量相乘得到元</w:t>
            </w:r>
          </w:p>
        </w:tc>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通过</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预测数据</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kW/整点小时</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6"/>
              </w:rPr>
              <w:t>kWh/10分钟格</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6"/>
              </w:rPr>
              <w:t>零阶保持6格后乘1/6</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通过</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年度边界</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kWh</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年首末6000且跨日连续</w:t>
            </w:r>
          </w:p>
        </w:tc>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通过</w:t>
            </w:r>
          </w:p>
        </w:tc>
      </w:tr>
    </w:tbl>
    <w:p>
      <w:pPr>
        <w:spacing w:after="40"/>
      </w:pPr>
    </w:p>
    <w:p>
      <w:pPr>
        <w:spacing w:line="360" w:lineRule="auto" w:after="80"/>
        <w:ind w:firstLine="420"/>
        <w:jc w:val="both"/>
      </w:pPr>
      <w:r>
        <w:rPr>
          <w:rFonts w:ascii="Times New Roman" w:hAnsi="Times New Roman" w:eastAsia="宋体"/>
          <w:b w:val="0"/>
          <w:color w:val="000000"/>
          <w:sz w:val="21"/>
        </w:rPr>
        <w:t>单位审计在读取数据后、建模前完成。若遗漏1/6小时换算，负载、电池容量和充放电上限会处于不同数量级，即使优化器报告成功，SOC也会在一两个区间内触及边界，结果不具物理意义。程序在测试中用已知小算例验证功率到电量换算，并把833.333 kWh作为每格功率约束的唯一实现。</w:t>
      </w:r>
    </w:p>
    <w:p>
      <w:pPr>
        <w:pStyle w:val="Heading2"/>
        <w:keepNext/>
        <w:spacing w:before="120" w:after="100"/>
      </w:pPr>
      <w:r>
        <w:rPr>
          <w:rFonts w:ascii="Times New Roman" w:hAnsi="Times New Roman" w:eastAsia="黑体"/>
          <w:b/>
          <w:color w:val="000000"/>
          <w:sz w:val="25"/>
        </w:rPr>
        <w:t>10.5 SOC边界与互斥性检查</w:t>
      </w:r>
    </w:p>
    <w:p>
      <w:pPr>
        <w:spacing w:line="360" w:lineRule="auto" w:after="80"/>
        <w:ind w:firstLine="420"/>
        <w:jc w:val="both"/>
      </w:pPr>
      <w:r>
        <w:rPr>
          <w:rFonts w:ascii="Times New Roman" w:hAnsi="Times New Roman" w:eastAsia="宋体"/>
          <w:b w:val="0"/>
          <w:color w:val="000000"/>
          <w:sz w:val="21"/>
        </w:rPr>
        <w:t>对每个模型独立重算SOC路径，而不是直接信任求解器返回的状态变量。检查式为rS(t)=S(t+1)-S(t)-ηC(t)+D(t)/η；同时计算功率平衡残差rP(t)=G(t)+E(t)+V(t)+D(t)-L(t)-C(t)。所有区间的|rS|与|rP|均小于10^-5 kWh。</w:t>
      </w:r>
    </w:p>
    <w:p>
      <w:pPr>
        <w:spacing w:line="360" w:lineRule="auto" w:after="80"/>
        <w:ind w:firstLine="420"/>
        <w:jc w:val="both"/>
      </w:pPr>
      <w:r>
        <w:rPr>
          <w:rFonts w:ascii="Times New Roman" w:hAnsi="Times New Roman" w:eastAsia="宋体"/>
          <w:b w:val="0"/>
          <w:color w:val="000000"/>
          <w:sz w:val="21"/>
        </w:rPr>
        <w:t>滚动模型还逐格检查C(t)D(t)≤10^-5，确定不存在同时充放电。SOC最小值或最大值在10^-12量级上略越边界，属于双精度线性规划容差；按10^-5 kWh工程容差判断均满足约束。Excel中的日首末SOC与模型数组逐日对应，问题二和4-2保持跨日连续，问题三和4-3保持每日首尾相等。</w:t>
      </w:r>
    </w:p>
    <w:p>
      <w:pPr>
        <w:pStyle w:val="Heading2"/>
        <w:keepNext/>
        <w:spacing w:before="120" w:after="100"/>
      </w:pPr>
      <w:r>
        <w:rPr>
          <w:rFonts w:ascii="Times New Roman" w:hAnsi="Times New Roman" w:eastAsia="黑体"/>
          <w:b/>
          <w:color w:val="000000"/>
          <w:sz w:val="25"/>
        </w:rPr>
        <w:t>10.6 结果文件完整性</w:t>
      </w:r>
    </w:p>
    <w:p>
      <w:pPr>
        <w:spacing w:line="360" w:lineRule="auto" w:after="80"/>
        <w:ind w:firstLine="420"/>
        <w:jc w:val="both"/>
      </w:pPr>
      <w:r>
        <w:rPr>
          <w:rFonts w:ascii="Times New Roman" w:hAnsi="Times New Roman" w:eastAsia="宋体"/>
          <w:b w:val="0"/>
          <w:color w:val="000000"/>
          <w:sz w:val="21"/>
        </w:rPr>
        <w:t>结果工作簿采用原模板复制后定点写入，未新建或重命名工作表。年度计划表含334个日期和144个10分钟区间，充放电表按每日6个四小时区间写入，紧急购电表至少保留模板要求的3行，并在存在更多连续缺口时自动扩展。写入完成后重新打开工作簿，检查工作表名称、首末时间标签、日期数、计划单元格、表头样式和合并区间。</w:t>
      </w:r>
    </w:p>
    <w:p>
      <w:pPr>
        <w:pStyle w:val="Heading2"/>
        <w:keepNext/>
        <w:spacing w:before="120" w:after="100"/>
      </w:pPr>
      <w:r>
        <w:rPr>
          <w:rFonts w:ascii="Times New Roman" w:hAnsi="Times New Roman" w:eastAsia="黑体"/>
          <w:b/>
          <w:color w:val="000000"/>
          <w:sz w:val="25"/>
        </w:rPr>
        <w:t>10.7 可复现性设置</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088"/>
            <w:shd w:fill="D9EAF7"/>
            <w:vAlign w:val="center"/>
          </w:tcPr>
          <w:p>
            <w:pPr>
              <w:keepNext/>
              <w:jc w:val="center"/>
            </w:pPr>
            <w:r>
              <w:rPr>
                <w:rFonts w:ascii="Times New Roman" w:hAnsi="Times New Roman" w:eastAsia="黑体"/>
                <w:b/>
                <w:color w:val="000000"/>
                <w:sz w:val="17"/>
              </w:rPr>
              <w:t>设置</w:t>
            </w:r>
          </w:p>
        </w:tc>
        <w:tc>
          <w:tcPr>
            <w:tcW w:type="dxa" w:w="2376"/>
            <w:shd w:fill="D9EAF7"/>
            <w:vAlign w:val="center"/>
          </w:tcPr>
          <w:p>
            <w:pPr>
              <w:keepNext/>
              <w:jc w:val="center"/>
            </w:pPr>
            <w:r>
              <w:rPr>
                <w:rFonts w:ascii="Times New Roman" w:hAnsi="Times New Roman" w:eastAsia="黑体"/>
                <w:b/>
                <w:color w:val="000000"/>
                <w:sz w:val="17"/>
              </w:rPr>
              <w:t>取值</w:t>
            </w:r>
          </w:p>
        </w:tc>
        <w:tc>
          <w:tcPr>
            <w:tcW w:type="dxa" w:w="4896"/>
            <w:shd w:fill="D9EAF7"/>
            <w:vAlign w:val="center"/>
          </w:tcPr>
          <w:p>
            <w:pPr>
              <w:keepNext/>
              <w:jc w:val="center"/>
            </w:pPr>
            <w:r>
              <w:rPr>
                <w:rFonts w:ascii="Times New Roman" w:hAnsi="Times New Roman" w:eastAsia="黑体"/>
                <w:b/>
                <w:color w:val="000000"/>
                <w:sz w:val="17"/>
              </w:rPr>
              <w:t>作用</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时间步长</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7"/>
              </w:rPr>
              <w:t>1/6 h</w:t>
            </w:r>
          </w:p>
        </w:tc>
        <w:tc>
          <w:tcPr>
            <w:tcW w:type="dxa" w:w="4896"/>
            <w:vAlign w:val="center"/>
            <w:tcMar>
              <w:top w:w="80" w:type="dxa"/>
              <w:start w:w="90" w:type="dxa"/>
              <w:bottom w:w="80" w:type="dxa"/>
              <w:end w:w="90" w:type="dxa"/>
            </w:tcMar>
          </w:tcPr>
          <w:p>
            <w:pPr>
              <w:jc w:val="center"/>
            </w:pPr>
            <w:r>
              <w:rPr>
                <w:rFonts w:ascii="Times New Roman" w:hAnsi="Times New Roman" w:eastAsia="宋体"/>
                <w:b w:val="0"/>
                <w:color w:val="000000"/>
                <w:sz w:val="17"/>
              </w:rPr>
              <w:t>统一功率与电量</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单向效率</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0.90</w:t>
            </w:r>
          </w:p>
        </w:tc>
        <w:tc>
          <w:tcPr>
            <w:tcW w:type="dxa" w:w="48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充电与放电分别计损耗</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SOC范围</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7"/>
              </w:rPr>
              <w:t>1200-10800 kWh</w:t>
            </w:r>
          </w:p>
        </w:tc>
        <w:tc>
          <w:tcPr>
            <w:tcW w:type="dxa" w:w="4896"/>
            <w:vAlign w:val="center"/>
            <w:tcMar>
              <w:top w:w="80" w:type="dxa"/>
              <w:start w:w="90" w:type="dxa"/>
              <w:bottom w:w="80" w:type="dxa"/>
              <w:end w:w="90" w:type="dxa"/>
            </w:tcMar>
          </w:tcPr>
          <w:p>
            <w:pPr>
              <w:jc w:val="center"/>
            </w:pPr>
            <w:r>
              <w:rPr>
                <w:rFonts w:ascii="Times New Roman" w:hAnsi="Times New Roman" w:eastAsia="宋体"/>
                <w:b w:val="0"/>
                <w:color w:val="000000"/>
                <w:sz w:val="17"/>
              </w:rPr>
              <w:t>限制可用储能容量</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功率上限</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5000 kW</w:t>
            </w:r>
          </w:p>
        </w:tc>
        <w:tc>
          <w:tcPr>
            <w:tcW w:type="dxa" w:w="48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每格上限833.333 kWh</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吞吐惩罚</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7"/>
              </w:rPr>
              <w:t>10^-8元/kWh</w:t>
            </w:r>
          </w:p>
        </w:tc>
        <w:tc>
          <w:tcPr>
            <w:tcW w:type="dxa" w:w="4896"/>
            <w:vAlign w:val="center"/>
            <w:tcMar>
              <w:top w:w="80" w:type="dxa"/>
              <w:start w:w="90" w:type="dxa"/>
              <w:bottom w:w="80" w:type="dxa"/>
              <w:end w:w="90" w:type="dxa"/>
            </w:tcMar>
          </w:tcPr>
          <w:p>
            <w:pPr>
              <w:jc w:val="center"/>
            </w:pPr>
            <w:r>
              <w:rPr>
                <w:rFonts w:ascii="Times New Roman" w:hAnsi="Times New Roman" w:eastAsia="宋体"/>
                <w:b w:val="0"/>
                <w:color w:val="000000"/>
                <w:sz w:val="17"/>
              </w:rPr>
              <w:t>打破同成本循环解</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线性规划器</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SciPy HiGHS</w:t>
            </w:r>
          </w:p>
        </w:tc>
        <w:tc>
          <w:tcPr>
            <w:tcW w:type="dxa" w:w="48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求解确定性稀疏LP</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整数规划器</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7"/>
              </w:rPr>
              <w:t>scipy.optimize.milp</w:t>
            </w:r>
          </w:p>
        </w:tc>
        <w:tc>
          <w:tcPr>
            <w:tcW w:type="dxa" w:w="4896"/>
            <w:vAlign w:val="center"/>
            <w:tcMar>
              <w:top w:w="80" w:type="dxa"/>
              <w:start w:w="90" w:type="dxa"/>
              <w:bottom w:w="80" w:type="dxa"/>
              <w:end w:w="90" w:type="dxa"/>
            </w:tcMar>
          </w:tcPr>
          <w:p>
            <w:pPr>
              <w:jc w:val="center"/>
            </w:pPr>
            <w:r>
              <w:rPr>
                <w:rFonts w:ascii="Times New Roman" w:hAnsi="Times New Roman" w:eastAsia="宋体"/>
                <w:b w:val="0"/>
                <w:color w:val="000000"/>
                <w:sz w:val="17"/>
              </w:rPr>
              <w:t>求解滚动互斥MILP</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可行性容差</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10^-5 kWh</w:t>
            </w:r>
          </w:p>
        </w:tc>
        <w:tc>
          <w:tcPr>
            <w:tcW w:type="dxa" w:w="48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判断残差和边界</w:t>
            </w:r>
          </w:p>
        </w:tc>
      </w:tr>
    </w:tbl>
    <w:p>
      <w:pPr>
        <w:spacing w:after="40"/>
      </w:pPr>
    </w:p>
    <w:p>
      <w:pPr>
        <w:pStyle w:val="Heading1"/>
        <w:keepNext/>
        <w:spacing w:before="200" w:after="100"/>
      </w:pPr>
      <w:r>
        <w:rPr>
          <w:rFonts w:ascii="Times New Roman" w:hAnsi="Times New Roman" w:eastAsia="黑体"/>
          <w:b/>
          <w:color w:val="000000"/>
          <w:sz w:val="30"/>
        </w:rPr>
        <w:t>11  模型评价 改进与推广</w:t>
      </w:r>
    </w:p>
    <w:p>
      <w:pPr>
        <w:pStyle w:val="Heading2"/>
        <w:keepNext/>
        <w:spacing w:before="120" w:after="100"/>
      </w:pPr>
      <w:r>
        <w:rPr>
          <w:rFonts w:ascii="Times New Roman" w:hAnsi="Times New Roman" w:eastAsia="黑体"/>
          <w:b/>
          <w:color w:val="000000"/>
          <w:sz w:val="25"/>
        </w:rPr>
        <w:t>11.1 模型优点</w:t>
      </w:r>
    </w:p>
    <w:p>
      <w:pPr>
        <w:spacing w:line="360" w:lineRule="auto" w:after="80"/>
        <w:ind w:left="420" w:hanging="420"/>
        <w:jc w:val="both"/>
      </w:pPr>
      <w:r>
        <w:rPr>
          <w:rFonts w:ascii="Times New Roman" w:hAnsi="Times New Roman" w:eastAsia="宋体"/>
          <w:b w:val="0"/>
          <w:color w:val="000000"/>
          <w:sz w:val="21"/>
        </w:rPr>
        <w:t>（1）统一使用10分钟电量变量，负载平衡、光伏消纳、SOC与结算关系均为线性或混合整数线性形式，物理意义清晰且可复现。</w:t>
      </w:r>
    </w:p>
    <w:p>
      <w:pPr>
        <w:spacing w:line="360" w:lineRule="auto" w:after="80"/>
        <w:ind w:left="420" w:hanging="420"/>
        <w:jc w:val="both"/>
      </w:pPr>
      <w:r>
        <w:rPr>
          <w:rFonts w:ascii="Times New Roman" w:hAnsi="Times New Roman" w:eastAsia="宋体"/>
          <w:b w:val="0"/>
          <w:color w:val="000000"/>
          <w:sz w:val="21"/>
        </w:rPr>
        <w:t>（2）显式处理右端时间戳、整点预测展开和0/6/12/18点边界，避免跨日泄漏和一格错位。</w:t>
      </w:r>
    </w:p>
    <w:p>
      <w:pPr>
        <w:spacing w:line="360" w:lineRule="auto" w:after="80"/>
        <w:ind w:left="420" w:hanging="420"/>
        <w:jc w:val="both"/>
      </w:pPr>
      <w:r>
        <w:rPr>
          <w:rFonts w:ascii="Times New Roman" w:hAnsi="Times New Roman" w:eastAsia="宋体"/>
          <w:b w:val="0"/>
          <w:color w:val="000000"/>
          <w:sz w:val="21"/>
        </w:rPr>
        <w:t>（3）将计划费用、偏差费用和紧急购电费用分开核算，并通过独立残差审计验证每个结果。</w:t>
      </w:r>
    </w:p>
    <w:p>
      <w:pPr>
        <w:pStyle w:val="Heading2"/>
        <w:keepNext/>
        <w:spacing w:before="120" w:after="100"/>
      </w:pPr>
      <w:r>
        <w:rPr>
          <w:rFonts w:ascii="Times New Roman" w:hAnsi="Times New Roman" w:eastAsia="黑体"/>
          <w:b/>
          <w:color w:val="000000"/>
          <w:sz w:val="25"/>
        </w:rPr>
        <w:t>11.2 模型不足</w:t>
      </w:r>
    </w:p>
    <w:p>
      <w:pPr>
        <w:spacing w:line="360" w:lineRule="auto" w:after="80"/>
        <w:ind w:left="420" w:hanging="420"/>
        <w:jc w:val="both"/>
      </w:pPr>
      <w:r>
        <w:rPr>
          <w:rFonts w:ascii="Times New Roman" w:hAnsi="Times New Roman" w:eastAsia="宋体"/>
          <w:b w:val="0"/>
          <w:color w:val="000000"/>
          <w:sz w:val="21"/>
        </w:rPr>
        <w:t>（1）问题二按附件2实际光伏进行确定性历史回算，未引入0点预测误差；若实际运行无法提前获知光伏，应补充日前预测模型或场景分布。</w:t>
      </w:r>
    </w:p>
    <w:p>
      <w:pPr>
        <w:spacing w:line="360" w:lineRule="auto" w:after="80"/>
        <w:ind w:left="420" w:hanging="420"/>
        <w:jc w:val="both"/>
      </w:pPr>
      <w:r>
        <w:rPr>
          <w:rFonts w:ascii="Times New Roman" w:hAnsi="Times New Roman" w:eastAsia="宋体"/>
          <w:b w:val="0"/>
          <w:color w:val="000000"/>
          <w:sz w:val="21"/>
        </w:rPr>
        <w:t>（2）储能退化仅用极小吞吐惩罚避免退化循环，未计入循环寿命、温度和不同SOC区间的老化成本。</w:t>
      </w:r>
    </w:p>
    <w:p>
      <w:pPr>
        <w:spacing w:line="360" w:lineRule="auto" w:after="80"/>
        <w:ind w:left="420" w:hanging="420"/>
        <w:jc w:val="both"/>
      </w:pPr>
      <w:r>
        <w:rPr>
          <w:rFonts w:ascii="Times New Roman" w:hAnsi="Times New Roman" w:eastAsia="宋体"/>
          <w:b w:val="0"/>
          <w:color w:val="000000"/>
          <w:sz w:val="21"/>
        </w:rPr>
        <w:t>（3）滚动模型令每日首尾SOC相等，便于公平比较，但可能限制跨日低价充电与高价放电的经济机会。</w:t>
      </w:r>
    </w:p>
    <w:p>
      <w:pPr>
        <w:spacing w:line="360" w:lineRule="auto" w:after="80"/>
        <w:ind w:left="420" w:hanging="420"/>
        <w:jc w:val="both"/>
      </w:pPr>
      <w:r>
        <w:rPr>
          <w:rFonts w:ascii="Times New Roman" w:hAnsi="Times New Roman" w:eastAsia="宋体"/>
          <w:b w:val="0"/>
          <w:color w:val="000000"/>
          <w:sz w:val="21"/>
        </w:rPr>
        <w:t>（4）负载视为准确已知，未考虑负载预测误差、外网功率上限、需求响应和反向售电。</w:t>
      </w:r>
    </w:p>
    <w:p>
      <w:pPr>
        <w:pStyle w:val="Heading2"/>
        <w:keepNext/>
        <w:spacing w:before="120" w:after="100"/>
      </w:pPr>
      <w:r>
        <w:rPr>
          <w:rFonts w:ascii="Times New Roman" w:hAnsi="Times New Roman" w:eastAsia="黑体"/>
          <w:b/>
          <w:color w:val="000000"/>
          <w:sz w:val="25"/>
        </w:rPr>
        <w:t>11.3 改进方向与推广</w:t>
      </w:r>
    </w:p>
    <w:p>
      <w:pPr>
        <w:spacing w:line="360" w:lineRule="auto" w:after="80"/>
        <w:ind w:firstLine="420"/>
        <w:jc w:val="both"/>
      </w:pPr>
      <w:r>
        <w:rPr>
          <w:rFonts w:ascii="Times New Roman" w:hAnsi="Times New Roman" w:eastAsia="宋体"/>
          <w:b w:val="0"/>
          <w:color w:val="000000"/>
          <w:sz w:val="21"/>
        </w:rPr>
        <w:t>可进一步建立光伏与负载的概率场景树，采用两阶段随机规划或分布鲁棒优化决定日前计划；将电池退化成本、外网容量和需量电费纳入目标函数；在更长窗口内使用模型预测控制并设置滚动终端价值函数。该框架也可推广到园区综合能源系统、充电站光储协同和含风电的孤网备用调度。</w:t>
      </w:r>
    </w:p>
    <w:p>
      <w:pPr>
        <w:pStyle w:val="Heading1"/>
        <w:keepNext/>
        <w:spacing w:before="200" w:after="100"/>
      </w:pPr>
      <w:r>
        <w:rPr>
          <w:rFonts w:ascii="Times New Roman" w:hAnsi="Times New Roman" w:eastAsia="黑体"/>
          <w:b/>
          <w:color w:val="000000"/>
          <w:sz w:val="30"/>
        </w:rPr>
        <w:t>12  结论与建议</w:t>
      </w:r>
    </w:p>
    <w:p>
      <w:pPr>
        <w:spacing w:line="360" w:lineRule="auto" w:after="80"/>
        <w:ind w:left="420" w:hanging="420"/>
        <w:jc w:val="both"/>
      </w:pPr>
      <w:r>
        <w:rPr>
          <w:rFonts w:ascii="Times New Roman" w:hAnsi="Times New Roman" w:eastAsia="宋体"/>
          <w:b w:val="0"/>
          <w:color w:val="000000"/>
          <w:sz w:val="21"/>
        </w:rPr>
        <w:t>（1）问题一的最优购电量为59,482.699 kWh，费用为35,126.949元，较无储能方案节省26.90%，且无弃光。</w:t>
      </w:r>
    </w:p>
    <w:p>
      <w:pPr>
        <w:spacing w:line="360" w:lineRule="auto" w:after="80"/>
        <w:ind w:left="420" w:hanging="420"/>
        <w:jc w:val="both"/>
      </w:pPr>
      <w:r>
        <w:rPr>
          <w:rFonts w:ascii="Times New Roman" w:hAnsi="Times New Roman" w:eastAsia="宋体"/>
          <w:b w:val="0"/>
          <w:color w:val="000000"/>
          <w:sz w:val="21"/>
        </w:rPr>
        <w:t>（2）问题二在确定性历史场景下总购电量为20,187,649.131 kWh，总费用为12,229,460.726元，无紧急购电。</w:t>
      </w:r>
    </w:p>
    <w:p>
      <w:pPr>
        <w:spacing w:line="360" w:lineRule="auto" w:after="80"/>
        <w:ind w:left="420" w:hanging="420"/>
        <w:jc w:val="both"/>
      </w:pPr>
      <w:r>
        <w:rPr>
          <w:rFonts w:ascii="Times New Roman" w:hAnsi="Times New Roman" w:eastAsia="宋体"/>
          <w:b w:val="0"/>
          <w:color w:val="000000"/>
          <w:sz w:val="21"/>
        </w:rPr>
        <w:t>（3）问题三滚动方案总费用为16,716,726.782元；增加6、12、18点预测后，紧急购电减少287,272.012 kWh，费用降低3.920%，因此应采用四时点滚动调度。</w:t>
      </w:r>
    </w:p>
    <w:p>
      <w:pPr>
        <w:spacing w:line="360" w:lineRule="auto" w:after="80"/>
        <w:ind w:left="420" w:hanging="420"/>
        <w:jc w:val="both"/>
      </w:pPr>
      <w:r>
        <w:rPr>
          <w:rFonts w:ascii="Times New Roman" w:hAnsi="Times New Roman" w:eastAsia="宋体"/>
          <w:b w:val="0"/>
          <w:color w:val="000000"/>
          <w:sz w:val="21"/>
        </w:rPr>
        <w:t>（4）动态电价下问题4-2和问题4-3费用分别为12,782,591.809元和17,419,346.464元。实际运行应按动态价格重新优化储能，而不能沿用固定电价的充放电时序。</w:t>
      </w:r>
    </w:p>
    <w:p>
      <w:pPr>
        <w:spacing w:line="360" w:lineRule="auto" w:after="80"/>
        <w:ind w:left="420" w:hanging="420"/>
        <w:jc w:val="both"/>
      </w:pPr>
      <w:r>
        <w:rPr>
          <w:rFonts w:ascii="Times New Roman" w:hAnsi="Times New Roman" w:eastAsia="宋体"/>
          <w:b w:val="0"/>
          <w:color w:val="000000"/>
          <w:sz w:val="21"/>
        </w:rPr>
        <w:t>（5）所有输出必须采用右端时间戳口径：源列0:10写入0:00-0:10，源列0:00+1写入23:50-24:00。该口径应在论文、代码和Excel中保持一致。</w:t>
      </w:r>
    </w:p>
    <w:p>
      <w:pPr>
        <w:pStyle w:val="Heading1"/>
        <w:keepNext/>
        <w:spacing w:before="200" w:after="100"/>
      </w:pPr>
      <w:r>
        <w:rPr>
          <w:rFonts w:ascii="Times New Roman" w:hAnsi="Times New Roman" w:eastAsia="黑体"/>
          <w:b/>
          <w:color w:val="000000"/>
          <w:sz w:val="30"/>
        </w:rPr>
        <w:t>AI 工具使用声明</w:t>
      </w:r>
    </w:p>
    <w:p>
      <w:pPr>
        <w:spacing w:line="360" w:lineRule="auto" w:after="80"/>
        <w:ind w:firstLine="420"/>
        <w:jc w:val="both"/>
      </w:pPr>
      <w:r>
        <w:rPr>
          <w:rFonts w:ascii="Times New Roman" w:hAnsi="Times New Roman" w:eastAsia="宋体"/>
          <w:b w:val="0"/>
          <w:color w:val="000000"/>
          <w:sz w:val="21"/>
        </w:rPr>
        <w:t>本论文研究过程中使用OpenAI Codex辅助完成代码调试、数据核对、结果工作簿生成和语言整理。模型选择、时间口径、约束设置、结果验证及最终结论由参赛队员复核并负责；具体使用情况按2026年竞赛当年规定在支撑材料中如实说明。</w:t>
      </w:r>
    </w:p>
    <w:p>
      <w:pPr>
        <w:pStyle w:val="Heading1"/>
        <w:keepNext/>
        <w:spacing w:before="200" w:after="100"/>
      </w:pPr>
      <w:r>
        <w:rPr>
          <w:rFonts w:ascii="Times New Roman" w:hAnsi="Times New Roman" w:eastAsia="黑体"/>
          <w:b/>
          <w:color w:val="000000"/>
          <w:sz w:val="30"/>
        </w:rPr>
        <w:t>参考文献</w:t>
      </w:r>
    </w:p>
    <w:p>
      <w:pPr>
        <w:spacing w:line="360" w:lineRule="auto" w:after="80"/>
        <w:ind w:left="420" w:hanging="420"/>
        <w:jc w:val="both"/>
      </w:pPr>
      <w:r>
        <w:rPr>
          <w:rFonts w:ascii="Times New Roman" w:hAnsi="Times New Roman" w:eastAsia="宋体"/>
          <w:b w:val="0"/>
          <w:color w:val="000000"/>
          <w:sz w:val="21"/>
        </w:rPr>
        <w:t>[1] Dantzig G B. Linear Programming and Extensions[M]. Princeton: Princeton University Press, 1963.</w:t>
      </w:r>
    </w:p>
    <w:p>
      <w:pPr>
        <w:spacing w:line="360" w:lineRule="auto" w:after="80"/>
        <w:ind w:left="420" w:hanging="420"/>
        <w:jc w:val="both"/>
      </w:pPr>
      <w:r>
        <w:rPr>
          <w:rFonts w:ascii="Times New Roman" w:hAnsi="Times New Roman" w:eastAsia="宋体"/>
          <w:b w:val="0"/>
          <w:color w:val="000000"/>
          <w:sz w:val="21"/>
        </w:rPr>
        <w:t>[2] Huangfu Q, Hall J A J. Parallelizing the dual revised simplex method[J]. Mathematical Programming Computation, 2018, 10: 119-142.</w:t>
      </w:r>
    </w:p>
    <w:p>
      <w:pPr>
        <w:spacing w:line="360" w:lineRule="auto" w:after="80"/>
        <w:ind w:left="420" w:hanging="420"/>
        <w:jc w:val="both"/>
      </w:pPr>
      <w:r>
        <w:rPr>
          <w:rFonts w:ascii="Times New Roman" w:hAnsi="Times New Roman" w:eastAsia="宋体"/>
          <w:b w:val="0"/>
          <w:color w:val="000000"/>
          <w:sz w:val="21"/>
        </w:rPr>
        <w:t>[3] Virtanen P, Gommers R, Oliphant T E, et al. SciPy 1.0: fundamental algorithms for scientific computing in Python[J]. Nature Methods, 2020, 17: 261-272.</w:t>
      </w:r>
    </w:p>
    <w:p>
      <w:pPr>
        <w:spacing w:line="360" w:lineRule="auto" w:after="80"/>
        <w:ind w:left="420" w:hanging="420"/>
        <w:jc w:val="both"/>
      </w:pPr>
      <w:r>
        <w:rPr>
          <w:rFonts w:ascii="Times New Roman" w:hAnsi="Times New Roman" w:eastAsia="宋体"/>
          <w:b w:val="0"/>
          <w:color w:val="000000"/>
          <w:sz w:val="21"/>
        </w:rPr>
        <w:t>[4] Bellman R. Dynamic Programming[M]. Princeton: Princeton University Press, 1957.</w:t>
      </w:r>
    </w:p>
    <w:p>
      <w:pPr>
        <w:spacing w:line="360" w:lineRule="auto" w:after="80"/>
        <w:ind w:left="420" w:hanging="420"/>
        <w:jc w:val="both"/>
      </w:pPr>
      <w:r>
        <w:rPr>
          <w:rFonts w:ascii="Times New Roman" w:hAnsi="Times New Roman" w:eastAsia="宋体"/>
          <w:b w:val="0"/>
          <w:color w:val="000000"/>
          <w:sz w:val="21"/>
        </w:rPr>
        <w:t>[5] 2026年高教社杯全国大学生数学建模竞赛C题：微网与外部电网电力调控策略[Z]. 2026.</w:t>
      </w:r>
    </w:p>
    <w:p>
      <w:pPr>
        <w:pStyle w:val="Heading1"/>
        <w:keepNext/>
        <w:spacing w:before="200" w:after="100"/>
      </w:pPr>
      <w:r>
        <w:rPr>
          <w:rFonts w:ascii="Times New Roman" w:hAnsi="Times New Roman" w:eastAsia="黑体"/>
          <w:b/>
          <w:color w:val="000000"/>
          <w:sz w:val="30"/>
        </w:rPr>
        <w:t>附录</w:t>
      </w:r>
    </w:p>
    <w:p>
      <w:pPr>
        <w:pStyle w:val="Heading2"/>
        <w:keepNext/>
        <w:spacing w:before="120" w:after="100"/>
      </w:pPr>
      <w:r>
        <w:rPr>
          <w:rFonts w:ascii="Times New Roman" w:hAnsi="Times New Roman" w:eastAsia="黑体"/>
          <w:b/>
          <w:color w:val="000000"/>
          <w:sz w:val="25"/>
        </w:rPr>
        <w:t>附录A 主要算法流程</w:t>
      </w:r>
    </w:p>
    <w:p>
      <w:pPr>
        <w:spacing w:line="360" w:lineRule="auto" w:after="80"/>
        <w:ind w:left="420" w:hanging="420"/>
        <w:jc w:val="both"/>
      </w:pPr>
      <w:r>
        <w:rPr>
          <w:rFonts w:ascii="Times New Roman" w:hAnsi="Times New Roman" w:eastAsia="宋体"/>
          <w:b w:val="0"/>
          <w:color w:val="000000"/>
          <w:sz w:val="21"/>
        </w:rPr>
        <w:t>（1）读取附件1-4并检查日期、形状、缺失、非负性；将附件时间戳映射为完整自然日的144个右端区间。</w:t>
      </w:r>
    </w:p>
    <w:p>
      <w:pPr>
        <w:spacing w:line="360" w:lineRule="auto" w:after="80"/>
        <w:ind w:left="420" w:hanging="420"/>
        <w:jc w:val="both"/>
      </w:pPr>
      <w:r>
        <w:rPr>
          <w:rFonts w:ascii="Times New Roman" w:hAnsi="Times New Roman" w:eastAsia="宋体"/>
          <w:b w:val="0"/>
          <w:color w:val="000000"/>
          <w:sz w:val="21"/>
        </w:rPr>
        <w:t>（2）把kW乘以1/6转换为每格kWh，建立负载、光伏、电价和预测张量。</w:t>
      </w:r>
    </w:p>
    <w:p>
      <w:pPr>
        <w:spacing w:line="360" w:lineRule="auto" w:after="80"/>
        <w:ind w:left="420" w:hanging="420"/>
        <w:jc w:val="both"/>
      </w:pPr>
      <w:r>
        <w:rPr>
          <w:rFonts w:ascii="Times New Roman" w:hAnsi="Times New Roman" w:eastAsia="宋体"/>
          <w:b w:val="0"/>
          <w:color w:val="000000"/>
          <w:sz w:val="21"/>
        </w:rPr>
        <w:t>（3）问题一及确定性年度问题构造稀疏线性规划，求解G、V、C、D和SOC。</w:t>
      </w:r>
    </w:p>
    <w:p>
      <w:pPr>
        <w:spacing w:line="360" w:lineRule="auto" w:after="80"/>
        <w:ind w:left="420" w:hanging="420"/>
        <w:jc w:val="both"/>
      </w:pPr>
      <w:r>
        <w:rPr>
          <w:rFonts w:ascii="Times New Roman" w:hAnsi="Times New Roman" w:eastAsia="宋体"/>
          <w:b w:val="0"/>
          <w:color w:val="000000"/>
          <w:sz w:val="21"/>
        </w:rPr>
        <w:t>（4）问题三在0点求基准计划，在6、12、18点冻结已执行区间，用最新预测和当前SOC求剩余时域MILP。</w:t>
      </w:r>
    </w:p>
    <w:p>
      <w:pPr>
        <w:spacing w:line="360" w:lineRule="auto" w:after="80"/>
        <w:ind w:left="420" w:hanging="420"/>
        <w:jc w:val="both"/>
      </w:pPr>
      <w:r>
        <w:rPr>
          <w:rFonts w:ascii="Times New Roman" w:hAnsi="Times New Roman" w:eastAsia="宋体"/>
          <w:b w:val="0"/>
          <w:color w:val="000000"/>
          <w:sz w:val="21"/>
        </w:rPr>
        <w:t>（5）用实际光伏计算紧急购电，按50%违约价、1.5倍超购价和5倍紧急价结算。</w:t>
      </w:r>
    </w:p>
    <w:p>
      <w:pPr>
        <w:spacing w:line="360" w:lineRule="auto" w:after="80"/>
        <w:ind w:left="420" w:hanging="420"/>
        <w:jc w:val="both"/>
      </w:pPr>
      <w:r>
        <w:rPr>
          <w:rFonts w:ascii="Times New Roman" w:hAnsi="Times New Roman" w:eastAsia="宋体"/>
          <w:b w:val="0"/>
          <w:color w:val="000000"/>
          <w:sz w:val="21"/>
        </w:rPr>
        <w:t>（6）独立计算功率平衡与SOC残差，检查上下界、功率上限、互斥性和首尾SOC；写入并复核五个Excel。</w:t>
      </w:r>
    </w:p>
    <w:p>
      <w:pPr>
        <w:pStyle w:val="Heading2"/>
        <w:keepNext/>
        <w:spacing w:before="120" w:after="100"/>
      </w:pPr>
      <w:r>
        <w:rPr>
          <w:rFonts w:ascii="Times New Roman" w:hAnsi="Times New Roman" w:eastAsia="黑体"/>
          <w:b/>
          <w:color w:val="000000"/>
          <w:sz w:val="25"/>
        </w:rPr>
        <w:t>附录B 代码与结果文件清单</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240"/>
            <w:shd w:fill="D9EAF7"/>
            <w:vAlign w:val="center"/>
          </w:tcPr>
          <w:p>
            <w:pPr>
              <w:keepNext/>
              <w:jc w:val="center"/>
            </w:pPr>
            <w:r>
              <w:rPr>
                <w:rFonts w:ascii="Times New Roman" w:hAnsi="Times New Roman" w:eastAsia="黑体"/>
                <w:b/>
                <w:color w:val="000000"/>
                <w:sz w:val="17"/>
              </w:rPr>
              <w:t>文件</w:t>
            </w:r>
          </w:p>
        </w:tc>
        <w:tc>
          <w:tcPr>
            <w:tcW w:type="dxa" w:w="4464"/>
            <w:shd w:fill="D9EAF7"/>
            <w:vAlign w:val="center"/>
          </w:tcPr>
          <w:p>
            <w:pPr>
              <w:keepNext/>
              <w:jc w:val="center"/>
            </w:pPr>
            <w:r>
              <w:rPr>
                <w:rFonts w:ascii="Times New Roman" w:hAnsi="Times New Roman" w:eastAsia="黑体"/>
                <w:b/>
                <w:color w:val="000000"/>
                <w:sz w:val="17"/>
              </w:rPr>
              <w:t>功能</w:t>
            </w:r>
          </w:p>
        </w:tc>
        <w:tc>
          <w:tcPr>
            <w:tcW w:type="dxa" w:w="1656"/>
            <w:shd w:fill="D9EAF7"/>
            <w:vAlign w:val="center"/>
          </w:tcPr>
          <w:p>
            <w:pPr>
              <w:keepNext/>
              <w:jc w:val="center"/>
            </w:pPr>
            <w:r>
              <w:rPr>
                <w:rFonts w:ascii="Times New Roman" w:hAnsi="Times New Roman" w:eastAsia="黑体"/>
                <w:b/>
                <w:color w:val="000000"/>
                <w:sz w:val="17"/>
              </w:rPr>
              <w:t>对应问题</w:t>
            </w:r>
          </w:p>
        </w:tc>
      </w:tr>
      <w:tr>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microgrid_optimization.py</w:t>
            </w:r>
          </w:p>
        </w:tc>
        <w:tc>
          <w:tcPr>
            <w:tcW w:type="dxa" w:w="4464"/>
            <w:vAlign w:val="center"/>
            <w:tcMar>
              <w:top w:w="80" w:type="dxa"/>
              <w:start w:w="90" w:type="dxa"/>
              <w:bottom w:w="80" w:type="dxa"/>
              <w:end w:w="90" w:type="dxa"/>
            </w:tcMar>
          </w:tcPr>
          <w:p>
            <w:pPr>
              <w:jc w:val="center"/>
            </w:pPr>
            <w:r>
              <w:rPr>
                <w:rFonts w:ascii="Times New Roman" w:hAnsi="Times New Roman" w:eastAsia="宋体"/>
                <w:b w:val="0"/>
                <w:color w:val="000000"/>
                <w:sz w:val="17"/>
              </w:rPr>
              <w:t>数据读取、LP/MILP求解、滚动优化、审计与结果写入</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问题1-4</w:t>
            </w:r>
          </w:p>
        </w:tc>
      </w:tr>
      <w:tr>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tests/test_microgrid_optimization.py</w:t>
            </w:r>
          </w:p>
        </w:tc>
        <w:tc>
          <w:tcPr>
            <w:tcW w:type="dxa" w:w="446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时间轴、单位、SOC、结算与Excel回归测试</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全题</w:t>
            </w:r>
          </w:p>
        </w:tc>
      </w:tr>
      <w:tr>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result1.xlsx</w:t>
            </w:r>
          </w:p>
        </w:tc>
        <w:tc>
          <w:tcPr>
            <w:tcW w:type="dxa" w:w="4464"/>
            <w:vAlign w:val="center"/>
            <w:tcMar>
              <w:top w:w="80" w:type="dxa"/>
              <w:start w:w="90" w:type="dxa"/>
              <w:bottom w:w="80" w:type="dxa"/>
              <w:end w:w="90" w:type="dxa"/>
            </w:tcMar>
          </w:tcPr>
          <w:p>
            <w:pPr>
              <w:jc w:val="center"/>
            </w:pPr>
            <w:r>
              <w:rPr>
                <w:rFonts w:ascii="Times New Roman" w:hAnsi="Times New Roman" w:eastAsia="宋体"/>
                <w:b w:val="0"/>
                <w:color w:val="000000"/>
                <w:sz w:val="17"/>
              </w:rPr>
              <w:t>典型日购电与储能结果</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问题1</w:t>
            </w:r>
          </w:p>
        </w:tc>
      </w:tr>
      <w:tr>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result2.xlsx</w:t>
            </w:r>
          </w:p>
        </w:tc>
        <w:tc>
          <w:tcPr>
            <w:tcW w:type="dxa" w:w="446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固定电价确定性年度结果</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问题2</w:t>
            </w:r>
          </w:p>
        </w:tc>
      </w:tr>
      <w:tr>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result3.xlsx</w:t>
            </w:r>
          </w:p>
        </w:tc>
        <w:tc>
          <w:tcPr>
            <w:tcW w:type="dxa" w:w="4464"/>
            <w:vAlign w:val="center"/>
            <w:tcMar>
              <w:top w:w="80" w:type="dxa"/>
              <w:start w:w="90" w:type="dxa"/>
              <w:bottom w:w="80" w:type="dxa"/>
              <w:end w:w="90" w:type="dxa"/>
            </w:tcMar>
          </w:tcPr>
          <w:p>
            <w:pPr>
              <w:jc w:val="center"/>
            </w:pPr>
            <w:r>
              <w:rPr>
                <w:rFonts w:ascii="Times New Roman" w:hAnsi="Times New Roman" w:eastAsia="宋体"/>
                <w:b w:val="0"/>
                <w:color w:val="000000"/>
                <w:sz w:val="17"/>
              </w:rPr>
              <w:t>固定电价滚动调整结果</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问题3</w:t>
            </w:r>
          </w:p>
        </w:tc>
      </w:tr>
      <w:tr>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result4-2.xlsx</w:t>
            </w:r>
          </w:p>
        </w:tc>
        <w:tc>
          <w:tcPr>
            <w:tcW w:type="dxa" w:w="446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动态电价确定性年度结果</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问题4对应问题2</w:t>
            </w:r>
          </w:p>
        </w:tc>
      </w:tr>
      <w:tr>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result4-3.xlsx</w:t>
            </w:r>
          </w:p>
        </w:tc>
        <w:tc>
          <w:tcPr>
            <w:tcW w:type="dxa" w:w="4464"/>
            <w:vAlign w:val="center"/>
            <w:tcMar>
              <w:top w:w="80" w:type="dxa"/>
              <w:start w:w="90" w:type="dxa"/>
              <w:bottom w:w="80" w:type="dxa"/>
              <w:end w:w="90" w:type="dxa"/>
            </w:tcMar>
          </w:tcPr>
          <w:p>
            <w:pPr>
              <w:jc w:val="center"/>
            </w:pPr>
            <w:r>
              <w:rPr>
                <w:rFonts w:ascii="Times New Roman" w:hAnsi="Times New Roman" w:eastAsia="宋体"/>
                <w:b w:val="0"/>
                <w:color w:val="000000"/>
                <w:sz w:val="17"/>
              </w:rPr>
              <w:t>动态电价滚动调整结果</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问题4对应问题3</w:t>
            </w:r>
          </w:p>
        </w:tc>
      </w:tr>
      <w:tr>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validation_report.json</w:t>
            </w:r>
          </w:p>
        </w:tc>
        <w:tc>
          <w:tcPr>
            <w:tcW w:type="dxa" w:w="446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数值约束与工作簿完整性检查</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全题</w:t>
            </w:r>
          </w:p>
        </w:tc>
      </w:tr>
    </w:tbl>
    <w:p>
      <w:pPr>
        <w:spacing w:after="40"/>
      </w:pPr>
    </w:p>
    <w:p>
      <w:r>
        <w:br w:type="page"/>
      </w:r>
    </w:p>
    <w:p>
      <w:pPr>
        <w:pStyle w:val="Heading2"/>
        <w:keepNext/>
        <w:spacing w:before="120" w:after="100"/>
      </w:pPr>
      <w:r>
        <w:rPr>
          <w:rFonts w:ascii="Times New Roman" w:hAnsi="Times New Roman" w:eastAsia="黑体"/>
          <w:b/>
          <w:color w:val="000000"/>
          <w:sz w:val="25"/>
        </w:rPr>
        <w:t>附录C 优化模型矩阵结构</w:t>
      </w:r>
    </w:p>
    <w:p>
      <w:pPr>
        <w:spacing w:line="360" w:lineRule="auto" w:after="80"/>
        <w:ind w:firstLine="420"/>
        <w:jc w:val="both"/>
      </w:pPr>
      <w:r>
        <w:rPr>
          <w:rFonts w:ascii="Times New Roman" w:hAnsi="Times New Roman" w:eastAsia="宋体"/>
          <w:b w:val="0"/>
          <w:color w:val="000000"/>
          <w:sz w:val="21"/>
        </w:rPr>
        <w:t>典型日连续模型按x=[G,C,D,V,S]排列。对每个区间t，负载平衡行在G(t)、C(t)、D(t)、V(t)位置的系数分别为1、-1、1、1，右端项为L(t)；SOC递推行在S(t)、S(t+1)、C(t)、D(t)位置的系数分别为-1、1、-η、1/η，右端项为0。变量上下界直接传给求解器，避免额外构造单位矩阵。</w:t>
      </w:r>
    </w:p>
    <w:tbl>
      <w:tblPr>
        <w:tblStyle w:val="TableGrid"/>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800"/>
            <w:shd w:fill="D9EAF7"/>
            <w:vAlign w:val="center"/>
          </w:tcPr>
          <w:p>
            <w:pPr>
              <w:keepNext/>
              <w:jc w:val="center"/>
            </w:pPr>
            <w:r>
              <w:rPr>
                <w:rFonts w:ascii="Times New Roman" w:hAnsi="Times New Roman" w:eastAsia="黑体"/>
                <w:b/>
                <w:color w:val="000000"/>
                <w:sz w:val="16"/>
              </w:rPr>
              <w:t>约束行</w:t>
            </w:r>
          </w:p>
        </w:tc>
        <w:tc>
          <w:tcPr>
            <w:tcW w:type="dxa" w:w="936"/>
            <w:shd w:fill="D9EAF7"/>
            <w:vAlign w:val="center"/>
          </w:tcPr>
          <w:p>
            <w:pPr>
              <w:keepNext/>
              <w:jc w:val="center"/>
            </w:pPr>
            <w:r>
              <w:rPr>
                <w:rFonts w:ascii="Times New Roman" w:hAnsi="Times New Roman" w:eastAsia="黑体"/>
                <w:b/>
                <w:color w:val="000000"/>
                <w:sz w:val="16"/>
              </w:rPr>
              <w:t>G</w:t>
            </w:r>
          </w:p>
        </w:tc>
        <w:tc>
          <w:tcPr>
            <w:tcW w:type="dxa" w:w="936"/>
            <w:shd w:fill="D9EAF7"/>
            <w:vAlign w:val="center"/>
          </w:tcPr>
          <w:p>
            <w:pPr>
              <w:keepNext/>
              <w:jc w:val="center"/>
            </w:pPr>
            <w:r>
              <w:rPr>
                <w:rFonts w:ascii="Times New Roman" w:hAnsi="Times New Roman" w:eastAsia="黑体"/>
                <w:b/>
                <w:color w:val="000000"/>
                <w:sz w:val="16"/>
              </w:rPr>
              <w:t>C</w:t>
            </w:r>
          </w:p>
        </w:tc>
        <w:tc>
          <w:tcPr>
            <w:tcW w:type="dxa" w:w="936"/>
            <w:shd w:fill="D9EAF7"/>
            <w:vAlign w:val="center"/>
          </w:tcPr>
          <w:p>
            <w:pPr>
              <w:keepNext/>
              <w:jc w:val="center"/>
            </w:pPr>
            <w:r>
              <w:rPr>
                <w:rFonts w:ascii="Times New Roman" w:hAnsi="Times New Roman" w:eastAsia="黑体"/>
                <w:b/>
                <w:color w:val="000000"/>
                <w:sz w:val="16"/>
              </w:rPr>
              <w:t>D</w:t>
            </w:r>
          </w:p>
        </w:tc>
        <w:tc>
          <w:tcPr>
            <w:tcW w:type="dxa" w:w="936"/>
            <w:shd w:fill="D9EAF7"/>
            <w:vAlign w:val="center"/>
          </w:tcPr>
          <w:p>
            <w:pPr>
              <w:keepNext/>
              <w:jc w:val="center"/>
            </w:pPr>
            <w:r>
              <w:rPr>
                <w:rFonts w:ascii="Times New Roman" w:hAnsi="Times New Roman" w:eastAsia="黑体"/>
                <w:b/>
                <w:color w:val="000000"/>
                <w:sz w:val="16"/>
              </w:rPr>
              <w:t>V</w:t>
            </w:r>
          </w:p>
        </w:tc>
        <w:tc>
          <w:tcPr>
            <w:tcW w:type="dxa" w:w="1224"/>
            <w:shd w:fill="D9EAF7"/>
            <w:vAlign w:val="center"/>
          </w:tcPr>
          <w:p>
            <w:pPr>
              <w:keepNext/>
              <w:jc w:val="center"/>
            </w:pPr>
            <w:r>
              <w:rPr>
                <w:rFonts w:ascii="Times New Roman" w:hAnsi="Times New Roman" w:eastAsia="黑体"/>
                <w:b/>
                <w:color w:val="000000"/>
                <w:sz w:val="16"/>
              </w:rPr>
              <w:t>S(t)</w:t>
            </w:r>
          </w:p>
        </w:tc>
        <w:tc>
          <w:tcPr>
            <w:tcW w:type="dxa" w:w="1368"/>
            <w:shd w:fill="D9EAF7"/>
            <w:vAlign w:val="center"/>
          </w:tcPr>
          <w:p>
            <w:pPr>
              <w:keepNext/>
              <w:jc w:val="center"/>
            </w:pPr>
            <w:r>
              <w:rPr>
                <w:rFonts w:ascii="Times New Roman" w:hAnsi="Times New Roman" w:eastAsia="黑体"/>
                <w:b/>
                <w:color w:val="000000"/>
                <w:sz w:val="16"/>
              </w:rPr>
              <w:t>S(t+1)</w:t>
            </w:r>
          </w:p>
        </w:tc>
        <w:tc>
          <w:tcPr>
            <w:tcW w:type="dxa" w:w="1224"/>
            <w:shd w:fill="D9EAF7"/>
            <w:vAlign w:val="center"/>
          </w:tcPr>
          <w:p>
            <w:pPr>
              <w:keepNext/>
              <w:jc w:val="center"/>
            </w:pPr>
            <w:r>
              <w:rPr>
                <w:rFonts w:ascii="Times New Roman" w:hAnsi="Times New Roman" w:eastAsia="黑体"/>
                <w:b/>
                <w:color w:val="000000"/>
                <w:sz w:val="16"/>
              </w:rPr>
              <w:t>右端项</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6"/>
              </w:rPr>
              <w:t>负载平衡t</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1224"/>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368"/>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224"/>
            <w:vAlign w:val="center"/>
            <w:tcMar>
              <w:top w:w="80" w:type="dxa"/>
              <w:start w:w="90" w:type="dxa"/>
              <w:bottom w:w="80" w:type="dxa"/>
              <w:end w:w="90" w:type="dxa"/>
            </w:tcMar>
          </w:tcPr>
          <w:p>
            <w:pPr>
              <w:jc w:val="center"/>
            </w:pPr>
            <w:r>
              <w:rPr>
                <w:rFonts w:ascii="Times New Roman" w:hAnsi="Times New Roman" w:eastAsia="宋体"/>
                <w:b w:val="0"/>
                <w:color w:val="000000"/>
                <w:sz w:val="16"/>
              </w:rPr>
              <w:t>L(t)</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SOC递推t</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-η</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1/η</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2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13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12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6"/>
              </w:rPr>
              <w:t>初始SOC</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224"/>
            <w:vAlign w:val="center"/>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1368"/>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224"/>
            <w:vAlign w:val="center"/>
            <w:tcMar>
              <w:top w:w="80" w:type="dxa"/>
              <w:start w:w="90" w:type="dxa"/>
              <w:bottom w:w="80" w:type="dxa"/>
              <w:end w:w="90" w:type="dxa"/>
            </w:tcMar>
          </w:tcPr>
          <w:p>
            <w:pPr>
              <w:jc w:val="center"/>
            </w:pPr>
            <w:r>
              <w:rPr>
                <w:rFonts w:ascii="Times New Roman" w:hAnsi="Times New Roman" w:eastAsia="宋体"/>
                <w:b w:val="0"/>
                <w:color w:val="000000"/>
                <w:sz w:val="16"/>
              </w:rPr>
              <w:t>S0</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终端SOC</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2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3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12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ST</w:t>
            </w:r>
          </w:p>
        </w:tc>
      </w:tr>
    </w:tbl>
    <w:p>
      <w:pPr>
        <w:spacing w:after="40"/>
      </w:pPr>
    </w:p>
    <w:p>
      <w:pPr>
        <w:spacing w:line="360" w:lineRule="auto" w:after="80"/>
        <w:ind w:firstLine="420"/>
        <w:jc w:val="both"/>
      </w:pPr>
      <w:r>
        <w:rPr>
          <w:rFonts w:ascii="Times New Roman" w:hAnsi="Times New Roman" w:eastAsia="宋体"/>
          <w:b w:val="0"/>
          <w:color w:val="000000"/>
          <w:sz w:val="21"/>
        </w:rPr>
        <w:t>年度模型按日期继续拼接上述块结构。滚动模型截取发布时刻后的列与约束，将已经执行后的SOC作为新初值。这种截取方式保证历史变量不再进入决策向量，也避免通过重新优化过去时段获得不可能的费用收益。</w:t>
      </w:r>
    </w:p>
    <w:p>
      <w:pPr>
        <w:pStyle w:val="Heading2"/>
        <w:keepNext/>
        <w:spacing w:before="120" w:after="100"/>
      </w:pPr>
      <w:r>
        <w:rPr>
          <w:rFonts w:ascii="Times New Roman" w:hAnsi="Times New Roman" w:eastAsia="黑体"/>
          <w:b/>
          <w:color w:val="000000"/>
          <w:sz w:val="25"/>
        </w:rPr>
        <w:t>附录D 数据到结果文件的映射</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944"/>
            <w:shd w:fill="D9EAF7"/>
            <w:vAlign w:val="center"/>
          </w:tcPr>
          <w:p>
            <w:pPr>
              <w:keepNext/>
              <w:jc w:val="center"/>
            </w:pPr>
            <w:r>
              <w:rPr>
                <w:rFonts w:ascii="Times New Roman" w:hAnsi="Times New Roman" w:eastAsia="黑体"/>
                <w:b/>
                <w:color w:val="000000"/>
                <w:sz w:val="15"/>
              </w:rPr>
              <w:t>数据或结果</w:t>
            </w:r>
          </w:p>
        </w:tc>
        <w:tc>
          <w:tcPr>
            <w:tcW w:type="dxa" w:w="1728"/>
            <w:shd w:fill="D9EAF7"/>
            <w:vAlign w:val="center"/>
          </w:tcPr>
          <w:p>
            <w:pPr>
              <w:keepNext/>
              <w:jc w:val="center"/>
            </w:pPr>
            <w:r>
              <w:rPr>
                <w:rFonts w:ascii="Times New Roman" w:hAnsi="Times New Roman" w:eastAsia="黑体"/>
                <w:b/>
                <w:color w:val="000000"/>
                <w:sz w:val="15"/>
              </w:rPr>
              <w:t>源位置</w:t>
            </w:r>
          </w:p>
        </w:tc>
        <w:tc>
          <w:tcPr>
            <w:tcW w:type="dxa" w:w="1584"/>
            <w:shd w:fill="D9EAF7"/>
            <w:vAlign w:val="center"/>
          </w:tcPr>
          <w:p>
            <w:pPr>
              <w:keepNext/>
              <w:jc w:val="center"/>
            </w:pPr>
            <w:r>
              <w:rPr>
                <w:rFonts w:ascii="Times New Roman" w:hAnsi="Times New Roman" w:eastAsia="黑体"/>
                <w:b/>
                <w:color w:val="000000"/>
                <w:sz w:val="15"/>
              </w:rPr>
              <w:t>内部形状</w:t>
            </w:r>
          </w:p>
        </w:tc>
        <w:tc>
          <w:tcPr>
            <w:tcW w:type="dxa" w:w="2376"/>
            <w:shd w:fill="D9EAF7"/>
            <w:vAlign w:val="center"/>
          </w:tcPr>
          <w:p>
            <w:pPr>
              <w:keepNext/>
              <w:jc w:val="center"/>
            </w:pPr>
            <w:r>
              <w:rPr>
                <w:rFonts w:ascii="Times New Roman" w:hAnsi="Times New Roman" w:eastAsia="黑体"/>
                <w:b/>
                <w:color w:val="000000"/>
                <w:sz w:val="15"/>
              </w:rPr>
              <w:t>写入位置</w:t>
            </w:r>
          </w:p>
        </w:tc>
        <w:tc>
          <w:tcPr>
            <w:tcW w:type="dxa" w:w="2088"/>
            <w:shd w:fill="D9EAF7"/>
            <w:vAlign w:val="center"/>
          </w:tcPr>
          <w:p>
            <w:pPr>
              <w:keepNext/>
              <w:jc w:val="center"/>
            </w:pPr>
            <w:r>
              <w:rPr>
                <w:rFonts w:ascii="Times New Roman" w:hAnsi="Times New Roman" w:eastAsia="黑体"/>
                <w:b/>
                <w:color w:val="000000"/>
                <w:sz w:val="15"/>
              </w:rPr>
              <w:t>时间处理</w:t>
            </w:r>
          </w:p>
        </w:tc>
      </w:tr>
      <w:tr>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典型日电价负载光伏</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5"/>
              </w:rPr>
              <w:t>附件1</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144</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5"/>
              </w:rPr>
              <w:t>result1计划表</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右端标签前移10分钟</w:t>
            </w:r>
          </w:p>
        </w:tc>
      </w:tr>
      <w:tr>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全年负载实际光伏</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附件2</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365×144</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问题2至4运行变量</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取2月1日至12月31日</w:t>
            </w:r>
          </w:p>
        </w:tc>
      </w:tr>
      <w:tr>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四时点光伏预测</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5"/>
              </w:rPr>
              <w:t>附件3</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365×4×24</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5"/>
              </w:rPr>
              <w:t>问题3与4-3计划</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每小时复制为6格</w:t>
            </w:r>
          </w:p>
        </w:tc>
      </w:tr>
      <w:tr>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全年动态电价</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附件4</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365×144</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result4-2与4-3</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与10分钟区间一一对应</w:t>
            </w:r>
          </w:p>
        </w:tc>
      </w:tr>
      <w:tr>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计划购电</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5"/>
              </w:rPr>
              <w:t>优化变量G0</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334×144</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5"/>
              </w:rPr>
              <w:t>计划购电量工作表</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B至EO列</w:t>
            </w:r>
          </w:p>
        </w:tc>
      </w:tr>
      <w:tr>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调整购电</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最终变量G</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334×144</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调整购电量工作表</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仅滚动问题</w:t>
            </w:r>
          </w:p>
        </w:tc>
      </w:tr>
      <w:tr>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储能结果</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5"/>
              </w:rPr>
              <w:t>C D SOC</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334×144及145</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5"/>
              </w:rPr>
              <w:t>充放电量工作表</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聚合为6个四小时段</w:t>
            </w:r>
          </w:p>
        </w:tc>
      </w:tr>
      <w:tr>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紧急购电</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实际回放E</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334×144</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紧急购电量工作表</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相邻正值区间合并</w:t>
            </w:r>
          </w:p>
        </w:tc>
      </w:tr>
    </w:tbl>
    <w:p>
      <w:pPr>
        <w:spacing w:after="40"/>
      </w:pPr>
    </w:p>
    <w:p>
      <w:pPr>
        <w:pStyle w:val="Heading2"/>
        <w:keepNext/>
        <w:spacing w:before="120" w:after="100"/>
      </w:pPr>
      <w:r>
        <w:rPr>
          <w:rFonts w:ascii="Times New Roman" w:hAnsi="Times New Roman" w:eastAsia="黑体"/>
          <w:b/>
          <w:color w:val="000000"/>
          <w:sz w:val="25"/>
        </w:rPr>
        <w:t>附录E 月度核心结果汇总</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080"/>
            <w:shd w:fill="D9EAF7"/>
            <w:vAlign w:val="center"/>
          </w:tcPr>
          <w:p>
            <w:pPr>
              <w:keepNext/>
              <w:jc w:val="center"/>
            </w:pPr>
            <w:r>
              <w:rPr>
                <w:rFonts w:ascii="Times New Roman" w:hAnsi="Times New Roman" w:eastAsia="黑体"/>
                <w:b/>
                <w:color w:val="000000"/>
                <w:sz w:val="16"/>
              </w:rPr>
              <w:t>月份</w:t>
            </w:r>
          </w:p>
        </w:tc>
        <w:tc>
          <w:tcPr>
            <w:tcW w:type="dxa" w:w="2160"/>
            <w:shd w:fill="D9EAF7"/>
            <w:vAlign w:val="center"/>
          </w:tcPr>
          <w:p>
            <w:pPr>
              <w:keepNext/>
              <w:jc w:val="center"/>
            </w:pPr>
            <w:r>
              <w:rPr>
                <w:rFonts w:ascii="Times New Roman" w:hAnsi="Times New Roman" w:eastAsia="黑体"/>
                <w:b/>
                <w:color w:val="000000"/>
                <w:sz w:val="16"/>
              </w:rPr>
              <w:t>问2购电/万kWh</w:t>
            </w:r>
          </w:p>
        </w:tc>
        <w:tc>
          <w:tcPr>
            <w:tcW w:type="dxa" w:w="2088"/>
            <w:shd w:fill="D9EAF7"/>
            <w:vAlign w:val="center"/>
          </w:tcPr>
          <w:p>
            <w:pPr>
              <w:keepNext/>
              <w:jc w:val="center"/>
            </w:pPr>
            <w:r>
              <w:rPr>
                <w:rFonts w:ascii="Times New Roman" w:hAnsi="Times New Roman" w:eastAsia="黑体"/>
                <w:b/>
                <w:color w:val="000000"/>
                <w:sz w:val="16"/>
              </w:rPr>
              <w:t>问3紧急/万kWh</w:t>
            </w:r>
          </w:p>
        </w:tc>
        <w:tc>
          <w:tcPr>
            <w:tcW w:type="dxa" w:w="2232"/>
            <w:shd w:fill="D9EAF7"/>
            <w:vAlign w:val="center"/>
          </w:tcPr>
          <w:p>
            <w:pPr>
              <w:keepNext/>
              <w:jc w:val="center"/>
            </w:pPr>
            <w:r>
              <w:rPr>
                <w:rFonts w:ascii="Times New Roman" w:hAnsi="Times New Roman" w:eastAsia="黑体"/>
                <w:b/>
                <w:color w:val="000000"/>
                <w:sz w:val="16"/>
              </w:rPr>
              <w:t>问4-2购电/万kWh</w:t>
            </w:r>
          </w:p>
        </w:tc>
        <w:tc>
          <w:tcPr>
            <w:tcW w:type="dxa" w:w="2088"/>
            <w:shd w:fill="D9EAF7"/>
            <w:vAlign w:val="center"/>
          </w:tcPr>
          <w:p>
            <w:pPr>
              <w:keepNext/>
              <w:jc w:val="center"/>
            </w:pPr>
            <w:r>
              <w:rPr>
                <w:rFonts w:ascii="Times New Roman" w:hAnsi="Times New Roman" w:eastAsia="黑体"/>
                <w:b/>
                <w:color w:val="000000"/>
                <w:sz w:val="16"/>
              </w:rPr>
              <w:t>问4-3紧急/万kWh</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2月</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185.03</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7.03</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185.46</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7.05</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3月</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174.22</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7.76</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174.65</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7.84</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4月</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146.34</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8.33</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147.40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8.41</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5月</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145.06</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8.60</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146.14</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8.62</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6月</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190.77</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7.32</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190.46</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7.31</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7月</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212.14</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8.46</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212.50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8.52</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8月</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186.37</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9.01</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186.03</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9.00</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9月</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162.98</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8.16</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163.88</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8.04</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10月</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170.84</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8.36</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171.54</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8.36</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11月</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194.74</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6.90</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195.20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7.02</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12月</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250.26</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7.03</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250.38</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6.87</w:t>
            </w:r>
          </w:p>
        </w:tc>
      </w:tr>
    </w:tbl>
    <w:p>
      <w:pPr>
        <w:spacing w:after="40"/>
      </w:pPr>
    </w:p>
    <w:p>
      <w:pPr>
        <w:spacing w:line="360" w:lineRule="auto" w:after="80"/>
        <w:ind w:firstLine="420"/>
        <w:jc w:val="both"/>
      </w:pPr>
      <w:r>
        <w:rPr>
          <w:rFonts w:ascii="Times New Roman" w:hAnsi="Times New Roman" w:eastAsia="宋体"/>
          <w:b w:val="0"/>
          <w:color w:val="000000"/>
          <w:sz w:val="21"/>
        </w:rPr>
        <w:t>附录E的月度结果由五个最终工作簿重新读取并汇总。问题二与问题4-2紧急购电均为0；问题三和问题4-3各月紧急购电合计分别为869434.390 kWh和870418.762 kWh，与正文年度结果一致。</w:t>
      </w:r>
    </w:p>
    <w:p>
      <w:pPr>
        <w:pStyle w:val="Heading2"/>
        <w:keepNext/>
        <w:spacing w:before="120" w:after="100"/>
      </w:pPr>
      <w:r>
        <w:rPr>
          <w:rFonts w:ascii="Times New Roman" w:hAnsi="Times New Roman" w:eastAsia="黑体"/>
          <w:b/>
          <w:color w:val="000000"/>
          <w:sz w:val="25"/>
        </w:rPr>
        <w:t>附录F 最终复核项目</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304"/>
            <w:shd w:fill="D9EAF7"/>
            <w:vAlign w:val="center"/>
          </w:tcPr>
          <w:p>
            <w:pPr>
              <w:keepNext/>
              <w:jc w:val="center"/>
            </w:pPr>
            <w:r>
              <w:rPr>
                <w:rFonts w:ascii="Times New Roman" w:hAnsi="Times New Roman" w:eastAsia="黑体"/>
                <w:b/>
                <w:color w:val="000000"/>
                <w:sz w:val="17"/>
              </w:rPr>
              <w:t>复核项目</w:t>
            </w:r>
          </w:p>
        </w:tc>
        <w:tc>
          <w:tcPr>
            <w:tcW w:type="dxa" w:w="5616"/>
            <w:shd w:fill="D9EAF7"/>
            <w:vAlign w:val="center"/>
          </w:tcPr>
          <w:p>
            <w:pPr>
              <w:keepNext/>
              <w:jc w:val="center"/>
            </w:pPr>
            <w:r>
              <w:rPr>
                <w:rFonts w:ascii="Times New Roman" w:hAnsi="Times New Roman" w:eastAsia="黑体"/>
                <w:b/>
                <w:color w:val="000000"/>
                <w:sz w:val="17"/>
              </w:rPr>
              <w:t>判定标准</w:t>
            </w:r>
          </w:p>
        </w:tc>
        <w:tc>
          <w:tcPr>
            <w:tcW w:type="dxa" w:w="1440"/>
            <w:shd w:fill="D9EAF7"/>
            <w:vAlign w:val="center"/>
          </w:tcPr>
          <w:p>
            <w:pPr>
              <w:keepNext/>
              <w:jc w:val="center"/>
            </w:pPr>
            <w:r>
              <w:rPr>
                <w:rFonts w:ascii="Times New Roman" w:hAnsi="Times New Roman" w:eastAsia="黑体"/>
                <w:b/>
                <w:color w:val="000000"/>
                <w:sz w:val="17"/>
              </w:rPr>
              <w:t>结果</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时间轴</w:t>
            </w:r>
          </w:p>
        </w:tc>
        <w:tc>
          <w:tcPr>
            <w:tcW w:type="dxa" w:w="5616"/>
            <w:vAlign w:val="center"/>
            <w:tcMar>
              <w:top w:w="80" w:type="dxa"/>
              <w:start w:w="90" w:type="dxa"/>
              <w:bottom w:w="80" w:type="dxa"/>
              <w:end w:w="90" w:type="dxa"/>
            </w:tcMar>
          </w:tcPr>
          <w:p>
            <w:pPr>
              <w:jc w:val="center"/>
            </w:pPr>
            <w:r>
              <w:rPr>
                <w:rFonts w:ascii="Times New Roman" w:hAnsi="Times New Roman" w:eastAsia="宋体"/>
                <w:b w:val="0"/>
                <w:color w:val="000000"/>
                <w:sz w:val="17"/>
              </w:rPr>
              <w:t>首格0:00-0:10 末格23:50-24:00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负载平衡</w:t>
            </w:r>
          </w:p>
        </w:tc>
        <w:tc>
          <w:tcPr>
            <w:tcW w:type="dxa" w:w="56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最大绝对残差≤10^-5 kWh</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SOC递推</w:t>
            </w:r>
          </w:p>
        </w:tc>
        <w:tc>
          <w:tcPr>
            <w:tcW w:type="dxa" w:w="5616"/>
            <w:vAlign w:val="center"/>
            <w:tcMar>
              <w:top w:w="80" w:type="dxa"/>
              <w:start w:w="90" w:type="dxa"/>
              <w:bottom w:w="80" w:type="dxa"/>
              <w:end w:w="90" w:type="dxa"/>
            </w:tcMar>
          </w:tcPr>
          <w:p>
            <w:pPr>
              <w:jc w:val="center"/>
            </w:pPr>
            <w:r>
              <w:rPr>
                <w:rFonts w:ascii="Times New Roman" w:hAnsi="Times New Roman" w:eastAsia="宋体"/>
                <w:b w:val="0"/>
                <w:color w:val="000000"/>
                <w:sz w:val="17"/>
              </w:rPr>
              <w:t>最大绝对残差≤10^-5 kWh</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SOC边界</w:t>
            </w:r>
          </w:p>
        </w:tc>
        <w:tc>
          <w:tcPr>
            <w:tcW w:type="dxa" w:w="56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全部位于1200-10800 kWh容差内</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功率边界</w:t>
            </w:r>
          </w:p>
        </w:tc>
        <w:tc>
          <w:tcPr>
            <w:tcW w:type="dxa" w:w="5616"/>
            <w:vAlign w:val="center"/>
            <w:tcMar>
              <w:top w:w="80" w:type="dxa"/>
              <w:start w:w="90" w:type="dxa"/>
              <w:bottom w:w="80" w:type="dxa"/>
              <w:end w:w="90" w:type="dxa"/>
            </w:tcMar>
          </w:tcPr>
          <w:p>
            <w:pPr>
              <w:jc w:val="center"/>
            </w:pPr>
            <w:r>
              <w:rPr>
                <w:rFonts w:ascii="Times New Roman" w:hAnsi="Times New Roman" w:eastAsia="宋体"/>
                <w:b w:val="0"/>
                <w:color w:val="000000"/>
                <w:sz w:val="17"/>
              </w:rPr>
              <w:t>每格充放电≤833.333 kWh</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充放电互斥</w:t>
            </w:r>
          </w:p>
        </w:tc>
        <w:tc>
          <w:tcPr>
            <w:tcW w:type="dxa" w:w="56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滚动模型每格不同时为正</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首尾状态</w:t>
            </w:r>
          </w:p>
        </w:tc>
        <w:tc>
          <w:tcPr>
            <w:tcW w:type="dxa" w:w="5616"/>
            <w:vAlign w:val="center"/>
            <w:tcMar>
              <w:top w:w="80" w:type="dxa"/>
              <w:start w:w="90" w:type="dxa"/>
              <w:bottom w:w="80" w:type="dxa"/>
              <w:end w:w="90" w:type="dxa"/>
            </w:tcMar>
          </w:tcPr>
          <w:p>
            <w:pPr>
              <w:jc w:val="center"/>
            </w:pPr>
            <w:r>
              <w:rPr>
                <w:rFonts w:ascii="Times New Roman" w:hAnsi="Times New Roman" w:eastAsia="宋体"/>
                <w:b w:val="0"/>
                <w:color w:val="000000"/>
                <w:sz w:val="17"/>
              </w:rPr>
              <w:t>典型日 年度与滚动终端要求满足</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Excel结构</w:t>
            </w:r>
          </w:p>
        </w:tc>
        <w:tc>
          <w:tcPr>
            <w:tcW w:type="dxa" w:w="56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工作表名 表头 日期与单元格完整</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自动测试</w:t>
            </w:r>
          </w:p>
        </w:tc>
        <w:tc>
          <w:tcPr>
            <w:tcW w:type="dxa" w:w="5616"/>
            <w:vAlign w:val="center"/>
            <w:tcMar>
              <w:top w:w="80" w:type="dxa"/>
              <w:start w:w="90" w:type="dxa"/>
              <w:bottom w:w="80" w:type="dxa"/>
              <w:end w:w="90" w:type="dxa"/>
            </w:tcMar>
          </w:tcPr>
          <w:p>
            <w:pPr>
              <w:jc w:val="center"/>
            </w:pPr>
            <w:r>
              <w:rPr>
                <w:rFonts w:ascii="Times New Roman" w:hAnsi="Times New Roman" w:eastAsia="宋体"/>
                <w:b w:val="0"/>
                <w:color w:val="000000"/>
                <w:sz w:val="17"/>
              </w:rPr>
              <w:t>15项单元和回归测试全部成功</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r>
    </w:tbl>
    <w:p>
      <w:pPr>
        <w:spacing w:after="40"/>
      </w:pPr>
    </w:p>
    <w:sectPr w:rsidR="00FC693F" w:rsidRPr="0006063C" w:rsidSect="00034616">
      <w:footerReference w:type="default" r:id="rId9"/>
      <w:pgSz w:w="12240" w:h="15840"/>
      <w:pgMar w:top="1417" w:right="1417" w:bottom="1417" w:left="1417" w:header="680" w:footer="79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微网与外部电网电力调控策略研究</dc:title>
  <dc:subject>2026年数学建模C题</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