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2064D">
      <w:pPr>
        <w:pStyle w:val="9"/>
        <w:spacing w:line="360" w:lineRule="auto"/>
        <w:jc w:val="center"/>
      </w:pPr>
      <w:bookmarkStart w:id="0" w:name="_Hlk95946734"/>
      <w:bookmarkEnd w:id="0"/>
      <w:r>
        <w:t>МИНИСТЕРСТВО НАУКИ И ВЫСШЕГО ОБРАЗОВАНИЯ РОССИЙСКОЙ ФЕДЕРАЦИИ</w:t>
      </w:r>
    </w:p>
    <w:p w14:paraId="5CA88CA4">
      <w:pPr>
        <w:pStyle w:val="9"/>
        <w:spacing w:line="36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49285328">
      <w:pPr>
        <w:pStyle w:val="9"/>
        <w:jc w:val="center"/>
      </w:pPr>
      <w:r>
        <w:t>«САНКТ-ПЕТЕРБУРГСКИЙ ГОСУДАРСТВЕННЫЙ УНИВЕРСИТЕТ</w:t>
      </w:r>
    </w:p>
    <w:p w14:paraId="2B0B0EBB">
      <w:pPr>
        <w:pStyle w:val="9"/>
        <w:jc w:val="center"/>
      </w:pPr>
      <w:r>
        <w:t>АЭРОКОСМИЧЕСКОГО ПРИБОРОСТРОЕНИЯ»</w:t>
      </w:r>
    </w:p>
    <w:p w14:paraId="6240F6AC">
      <w:pPr>
        <w:pStyle w:val="9"/>
        <w:jc w:val="center"/>
      </w:pPr>
    </w:p>
    <w:p w14:paraId="7143FD0C">
      <w:pPr>
        <w:pStyle w:val="9"/>
        <w:jc w:val="center"/>
      </w:pPr>
      <w:r>
        <w:t>КАФЕДРА КОМПЬЮТЕРНЫХ ТЕХНОЛОГИЙ</w:t>
      </w:r>
    </w:p>
    <w:p w14:paraId="796EBE76">
      <w:pPr>
        <w:pStyle w:val="13"/>
        <w:jc w:val="center"/>
      </w:pPr>
      <w:r>
        <w:t>И ПРОГРАММНОЙ ИНЖЕНЕРИИ (КАФЕДРА 43)</w:t>
      </w:r>
    </w:p>
    <w:p w14:paraId="5DF88334">
      <w:pPr>
        <w:pStyle w:val="13"/>
      </w:pPr>
    </w:p>
    <w:p w14:paraId="5327E771">
      <w:pPr>
        <w:pStyle w:val="13"/>
      </w:pPr>
    </w:p>
    <w:p w14:paraId="5E7D2A53">
      <w:pPr>
        <w:pStyle w:val="13"/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4"/>
        <w:gridCol w:w="1701"/>
        <w:gridCol w:w="4100"/>
      </w:tblGrid>
      <w:tr w14:paraId="5ADE0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3544" w:type="dxa"/>
          </w:tcPr>
          <w:p w14:paraId="21CE48C5">
            <w:pPr>
              <w:pStyle w:val="13"/>
              <w:ind w:left="-106" w:right="-107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ОТЧЕТ ЗАЩИЩЕН С ОЦЕНКОЙ:</w:t>
            </w:r>
          </w:p>
        </w:tc>
        <w:tc>
          <w:tcPr>
            <w:tcW w:w="1701" w:type="dxa"/>
            <w:tcBorders>
              <w:bottom w:val="single" w:color="auto" w:sz="4" w:space="0"/>
            </w:tcBorders>
          </w:tcPr>
          <w:p w14:paraId="01CA701B">
            <w:pPr>
              <w:pStyle w:val="13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4100" w:type="dxa"/>
          </w:tcPr>
          <w:p w14:paraId="4E3B7AAC">
            <w:pPr>
              <w:pStyle w:val="13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</w:tr>
    </w:tbl>
    <w:p w14:paraId="6A348724">
      <w:pPr>
        <w:pStyle w:val="13"/>
      </w:pPr>
    </w:p>
    <w:p w14:paraId="581AC969">
      <w:pPr>
        <w:pStyle w:val="13"/>
      </w:pPr>
    </w:p>
    <w:p w14:paraId="7C3164D0">
      <w:pPr>
        <w:pStyle w:val="13"/>
        <w:spacing w:line="360" w:lineRule="auto"/>
      </w:pPr>
      <w:r>
        <w:t>ПРЕПОДАВАТЕЛЬ:</w:t>
      </w:r>
    </w:p>
    <w:tbl>
      <w:tblPr>
        <w:tblStyle w:val="12"/>
        <w:tblW w:w="93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14:paraId="116A8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5E0912E2">
            <w:pPr>
              <w:pStyle w:val="13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D266084">
            <w:pPr>
              <w:pStyle w:val="13"/>
              <w:spacing w:line="276" w:lineRule="auto"/>
              <w:rPr>
                <w:rFonts w:ascii="Cambria" w:hAnsi="Cambria" w:eastAsia="Times New Roman"/>
                <w:sz w:val="24"/>
                <w:szCs w:val="24"/>
                <w:lang w:val="en-US"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1701" w:type="dxa"/>
          </w:tcPr>
          <w:p w14:paraId="64515775">
            <w:pPr>
              <w:pStyle w:val="13"/>
              <w:spacing w:line="276" w:lineRule="auto"/>
              <w:jc w:val="right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F95037D">
            <w:pPr>
              <w:pStyle w:val="13"/>
              <w:spacing w:line="276" w:lineRule="auto"/>
              <w:jc w:val="right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418" w:type="dxa"/>
          </w:tcPr>
          <w:p w14:paraId="32B3A009">
            <w:pPr>
              <w:pStyle w:val="13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00F5A01">
            <w:pPr>
              <w:pStyle w:val="13"/>
              <w:spacing w:line="276" w:lineRule="auto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2410" w:type="dxa"/>
          </w:tcPr>
          <w:p w14:paraId="57FC9EF2">
            <w:pPr>
              <w:pStyle w:val="13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Е. В. Павлов</w:t>
            </w:r>
          </w:p>
        </w:tc>
      </w:tr>
      <w:tr w14:paraId="1F25A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3EE88DCD">
            <w:pPr>
              <w:pStyle w:val="13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(должность, учёная степень, звание)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A94D280">
            <w:pPr>
              <w:pStyle w:val="13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3A5C8152">
            <w:pPr>
              <w:pStyle w:val="13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(подпись)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D9F458">
            <w:pPr>
              <w:pStyle w:val="13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418" w:type="dxa"/>
          </w:tcPr>
          <w:p w14:paraId="097F8760">
            <w:pPr>
              <w:pStyle w:val="13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C791236">
            <w:pPr>
              <w:pStyle w:val="13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</w:tcPr>
          <w:p w14:paraId="4BBCA57E">
            <w:pPr>
              <w:pStyle w:val="13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64B0A8C2">
      <w:pPr>
        <w:pStyle w:val="13"/>
      </w:pPr>
    </w:p>
    <w:p w14:paraId="21C5D016">
      <w:pPr>
        <w:pStyle w:val="13"/>
      </w:pPr>
    </w:p>
    <w:p w14:paraId="68470433">
      <w:pPr>
        <w:pStyle w:val="13"/>
      </w:pPr>
    </w:p>
    <w:p w14:paraId="200DC578">
      <w:pPr>
        <w:pStyle w:val="13"/>
      </w:pPr>
    </w:p>
    <w:p w14:paraId="0778FDAF">
      <w:pPr>
        <w:pStyle w:val="13"/>
      </w:pPr>
    </w:p>
    <w:p w14:paraId="47A8DE4B">
      <w:pPr>
        <w:pStyle w:val="13"/>
        <w:jc w:val="center"/>
        <w:rPr>
          <w:sz w:val="28"/>
          <w:szCs w:val="28"/>
        </w:rPr>
      </w:pPr>
      <w:r>
        <w:rPr>
          <w:sz w:val="28"/>
          <w:szCs w:val="28"/>
        </w:rPr>
        <w:t>ОТЧЕТ О ЛАБОРАТОРНОЙ РАБОТЕ №6</w:t>
      </w:r>
    </w:p>
    <w:p w14:paraId="3464B42B">
      <w:pPr>
        <w:pStyle w:val="13"/>
        <w:jc w:val="center"/>
        <w:rPr>
          <w:sz w:val="28"/>
          <w:szCs w:val="28"/>
        </w:rPr>
      </w:pPr>
    </w:p>
    <w:p w14:paraId="17350829">
      <w:pPr>
        <w:pStyle w:val="13"/>
        <w:jc w:val="center"/>
        <w:rPr>
          <w:sz w:val="28"/>
          <w:szCs w:val="28"/>
        </w:rPr>
      </w:pPr>
      <w:r>
        <w:rPr>
          <w:sz w:val="28"/>
          <w:szCs w:val="28"/>
        </w:rPr>
        <w:t>«СОЗДАНИЕ АНИМИРОВАННОГО ИЗОБРАЖЕНИЯ»</w:t>
      </w:r>
    </w:p>
    <w:p w14:paraId="6886D4E6">
      <w:pPr>
        <w:pStyle w:val="13"/>
        <w:jc w:val="center"/>
        <w:rPr>
          <w:sz w:val="28"/>
          <w:szCs w:val="28"/>
        </w:rPr>
      </w:pPr>
    </w:p>
    <w:p w14:paraId="17A26AC0">
      <w:pPr>
        <w:pStyle w:val="13"/>
        <w:jc w:val="center"/>
        <w:rPr>
          <w:sz w:val="28"/>
          <w:szCs w:val="28"/>
        </w:rPr>
      </w:pPr>
      <w:r>
        <w:rPr>
          <w:sz w:val="28"/>
          <w:szCs w:val="28"/>
        </w:rPr>
        <w:t>ПО КУРСУ: «ПРОЕКТИРОВАНИЕ ЧЕЛОВЕКО-МАШИННОГО ИНТЕРФЕЙСА»</w:t>
      </w:r>
    </w:p>
    <w:p w14:paraId="65C645BA">
      <w:pPr>
        <w:pStyle w:val="13"/>
        <w:jc w:val="center"/>
        <w:rPr>
          <w:sz w:val="28"/>
          <w:szCs w:val="28"/>
        </w:rPr>
      </w:pPr>
    </w:p>
    <w:p w14:paraId="4CE61081">
      <w:pPr>
        <w:pStyle w:val="13"/>
      </w:pPr>
    </w:p>
    <w:p w14:paraId="31140D04">
      <w:pPr>
        <w:pStyle w:val="13"/>
      </w:pPr>
    </w:p>
    <w:p w14:paraId="11FC2A5D">
      <w:pPr>
        <w:pStyle w:val="13"/>
      </w:pPr>
    </w:p>
    <w:p w14:paraId="283225CE">
      <w:pPr>
        <w:pStyle w:val="13"/>
      </w:pPr>
    </w:p>
    <w:p w14:paraId="26E11872">
      <w:pPr>
        <w:pStyle w:val="13"/>
      </w:pPr>
    </w:p>
    <w:tbl>
      <w:tblPr>
        <w:tblStyle w:val="12"/>
        <w:tblW w:w="93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5"/>
        <w:gridCol w:w="1418"/>
        <w:gridCol w:w="284"/>
        <w:gridCol w:w="2409"/>
      </w:tblGrid>
      <w:tr w14:paraId="64930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  <w:tcBorders>
              <w:top w:val="nil"/>
              <w:bottom w:val="nil"/>
            </w:tcBorders>
          </w:tcPr>
          <w:p w14:paraId="24738CC5">
            <w:pPr>
              <w:pStyle w:val="13"/>
              <w:spacing w:line="276" w:lineRule="auto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РАБОТУ ВЫПОЛНИЛ (-А) СТУДЕНТ (-КА):</w:t>
            </w:r>
          </w:p>
        </w:tc>
        <w:tc>
          <w:tcPr>
            <w:tcW w:w="1418" w:type="dxa"/>
          </w:tcPr>
          <w:p w14:paraId="7FEC1800">
            <w:pPr>
              <w:pStyle w:val="13"/>
              <w:spacing w:line="276" w:lineRule="auto"/>
              <w:jc w:val="center"/>
              <w:rPr>
                <w:rFonts w:hint="default" w:ascii="Cambria" w:hAnsi="Cambria" w:eastAsia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eastAsia="Times New Roman"/>
                <w:sz w:val="24"/>
                <w:szCs w:val="24"/>
                <w:lang w:val="en-US" w:eastAsia="ru-RU"/>
              </w:rPr>
              <w:t>4236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61A390">
            <w:pPr>
              <w:pStyle w:val="13"/>
              <w:spacing w:line="276" w:lineRule="auto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2409" w:type="dxa"/>
          </w:tcPr>
          <w:p w14:paraId="7FCC883A">
            <w:pPr>
              <w:pStyle w:val="13"/>
              <w:spacing w:line="276" w:lineRule="auto"/>
              <w:jc w:val="center"/>
              <w:rPr>
                <w:rFonts w:hint="default" w:ascii="Cambria" w:hAnsi="Cambria" w:eastAsia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eastAsia="Times New Roman"/>
                <w:sz w:val="24"/>
                <w:szCs w:val="24"/>
                <w:lang w:val="ru-RU" w:eastAsia="ru-RU"/>
              </w:rPr>
              <w:t>Л</w:t>
            </w:r>
            <w:r>
              <w:rPr>
                <w:rFonts w:hint="default" w:eastAsia="Times New Roman"/>
                <w:sz w:val="24"/>
                <w:szCs w:val="24"/>
                <w:lang w:val="en-US" w:eastAsia="ru-RU"/>
              </w:rPr>
              <w:t>. Мвале</w:t>
            </w:r>
          </w:p>
        </w:tc>
      </w:tr>
      <w:tr w14:paraId="1584F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  <w:tcBorders>
              <w:top w:val="nil"/>
              <w:bottom w:val="nil"/>
            </w:tcBorders>
          </w:tcPr>
          <w:p w14:paraId="785D59B2">
            <w:pPr>
              <w:pStyle w:val="13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418" w:type="dxa"/>
          </w:tcPr>
          <w:p w14:paraId="3046FF18">
            <w:pPr>
              <w:pStyle w:val="13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EB51842">
            <w:pPr>
              <w:pStyle w:val="13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74705BF6">
            <w:pPr>
              <w:pStyle w:val="13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2826A6C5">
      <w:pPr>
        <w:pStyle w:val="13"/>
      </w:pPr>
    </w:p>
    <w:p w14:paraId="6DD89A99">
      <w:pPr>
        <w:pStyle w:val="13"/>
      </w:pPr>
    </w:p>
    <w:tbl>
      <w:tblPr>
        <w:tblStyle w:val="12"/>
        <w:tblW w:w="93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71"/>
        <w:gridCol w:w="287"/>
        <w:gridCol w:w="1727"/>
        <w:gridCol w:w="288"/>
        <w:gridCol w:w="1583"/>
      </w:tblGrid>
      <w:tr w14:paraId="4330E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7" w:type="dxa"/>
            <w:tcBorders>
              <w:top w:val="nil"/>
              <w:bottom w:val="nil"/>
            </w:tcBorders>
          </w:tcPr>
          <w:p w14:paraId="29AFC0EA">
            <w:pPr>
              <w:pStyle w:val="13"/>
              <w:spacing w:line="276" w:lineRule="auto"/>
              <w:jc w:val="right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688A90C">
            <w:pPr>
              <w:pStyle w:val="13"/>
              <w:spacing w:line="276" w:lineRule="auto"/>
              <w:jc w:val="right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701" w:type="dxa"/>
          </w:tcPr>
          <w:p w14:paraId="53CA1B9B">
            <w:pPr>
              <w:pStyle w:val="13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91F8E1">
            <w:pPr>
              <w:pStyle w:val="13"/>
              <w:spacing w:line="276" w:lineRule="auto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559" w:type="dxa"/>
          </w:tcPr>
          <w:p w14:paraId="7A0594F8">
            <w:pPr>
              <w:pStyle w:val="13"/>
              <w:spacing w:line="276" w:lineRule="auto"/>
              <w:jc w:val="center"/>
              <w:rPr>
                <w:rFonts w:hint="default" w:ascii="Cambria" w:hAnsi="Cambria" w:eastAsia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eastAsia="Times New Roman"/>
                <w:sz w:val="24"/>
                <w:szCs w:val="24"/>
                <w:lang w:val="en-US" w:eastAsia="ru-RU"/>
              </w:rPr>
              <w:t>04.11.2025</w:t>
            </w:r>
          </w:p>
        </w:tc>
      </w:tr>
      <w:tr w14:paraId="404B4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7" w:type="dxa"/>
            <w:tcBorders>
              <w:top w:val="nil"/>
              <w:bottom w:val="nil"/>
            </w:tcBorders>
          </w:tcPr>
          <w:p w14:paraId="46413638">
            <w:pPr>
              <w:pStyle w:val="13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EC9E39A">
            <w:pPr>
              <w:pStyle w:val="13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701" w:type="dxa"/>
          </w:tcPr>
          <w:p w14:paraId="322D5BF2">
            <w:pPr>
              <w:pStyle w:val="13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12D13F4">
            <w:pPr>
              <w:pStyle w:val="13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</w:tcPr>
          <w:p w14:paraId="09634498">
            <w:pPr>
              <w:pStyle w:val="13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(дата отчета)</w:t>
            </w:r>
          </w:p>
        </w:tc>
      </w:tr>
    </w:tbl>
    <w:p w14:paraId="70BA5BF0">
      <w:pPr>
        <w:pStyle w:val="13"/>
      </w:pPr>
    </w:p>
    <w:p w14:paraId="649C1A47">
      <w:pPr>
        <w:suppressAutoHyphens w:val="0"/>
        <w:spacing w:after="160" w:line="259" w:lineRule="auto"/>
      </w:pPr>
      <w:r>
        <w:br w:type="page"/>
      </w:r>
    </w:p>
    <w:p w14:paraId="4F5B042F">
      <w:pPr>
        <w:pStyle w:val="19"/>
        <w:numPr>
          <w:ilvl w:val="0"/>
          <w:numId w:val="0"/>
        </w:numPr>
        <w:spacing w:line="276" w:lineRule="auto"/>
        <w:jc w:val="center"/>
      </w:pPr>
      <w:r>
        <w:t>ВВЕДЕНИЕ</w:t>
      </w:r>
    </w:p>
    <w:p w14:paraId="29A98990">
      <w:pPr>
        <w:pStyle w:val="13"/>
        <w:spacing w:line="276" w:lineRule="auto"/>
        <w:ind w:firstLine="708"/>
        <w:jc w:val="both"/>
      </w:pPr>
    </w:p>
    <w:p w14:paraId="17FD11FA">
      <w:pPr>
        <w:pStyle w:val="13"/>
        <w:spacing w:line="276" w:lineRule="auto"/>
        <w:ind w:firstLine="708"/>
        <w:jc w:val="both"/>
      </w:pPr>
    </w:p>
    <w:p w14:paraId="3C124541">
      <w:pPr>
        <w:pStyle w:val="13"/>
        <w:spacing w:line="276" w:lineRule="auto"/>
        <w:ind w:firstLine="708"/>
        <w:jc w:val="both"/>
      </w:pPr>
      <w:r>
        <w:rPr>
          <w:b/>
        </w:rPr>
        <w:t xml:space="preserve">Актуальность. </w:t>
      </w:r>
      <w:r>
        <w:rPr>
          <w:bCs/>
        </w:rPr>
        <w:t>Blender — это многофункциональный инструмент с открытым исходным кодом, предназначенный для 3D-моделирования, анимации, рендеринга, симуляции и создания визуальных эффектов. Программа широко применяется в различных сферах — от игровой индустрии и кинопроизводства до архитектурной визуализации и дизайна. Популярность Blender объясняется его свободным распространением, мощными возможностями, сопоставимыми с коммерческими программами, а также активной поддержкой сообщества, что делает его одинаково востребованным среди новичков и опытных специалистов.</w:t>
      </w:r>
    </w:p>
    <w:p w14:paraId="501D9663">
      <w:pPr>
        <w:pStyle w:val="13"/>
        <w:spacing w:line="276" w:lineRule="auto"/>
        <w:ind w:firstLine="708"/>
        <w:jc w:val="both"/>
      </w:pPr>
    </w:p>
    <w:p w14:paraId="2B492C3A">
      <w:pPr>
        <w:pStyle w:val="13"/>
        <w:spacing w:line="276" w:lineRule="auto"/>
        <w:ind w:firstLine="708"/>
        <w:jc w:val="both"/>
        <w:rPr>
          <w:b/>
        </w:rPr>
      </w:pPr>
      <w:r>
        <w:rPr>
          <w:b/>
        </w:rPr>
        <w:t>Цель лабораторной работы:</w:t>
      </w:r>
    </w:p>
    <w:p w14:paraId="213509CE">
      <w:pPr>
        <w:pStyle w:val="13"/>
        <w:spacing w:line="276" w:lineRule="auto"/>
        <w:ind w:firstLine="708"/>
        <w:jc w:val="both"/>
      </w:pPr>
      <w:r>
        <w:t>Создание анимированного изображения, рендеринг видеоролика.</w:t>
      </w:r>
    </w:p>
    <w:p w14:paraId="4B8CDB72">
      <w:pPr>
        <w:pStyle w:val="13"/>
        <w:spacing w:line="276" w:lineRule="auto"/>
        <w:ind w:firstLine="708"/>
        <w:jc w:val="both"/>
      </w:pPr>
    </w:p>
    <w:p w14:paraId="0070DD5A">
      <w:pPr>
        <w:pStyle w:val="13"/>
        <w:spacing w:line="276" w:lineRule="auto"/>
        <w:ind w:firstLine="708"/>
        <w:jc w:val="both"/>
        <w:rPr>
          <w:b/>
        </w:rPr>
      </w:pPr>
      <w:r>
        <w:rPr>
          <w:b/>
        </w:rPr>
        <w:t>Для достижения поставленной в лабораторной работе цели подлежат решению следующие задачи:</w:t>
      </w:r>
    </w:p>
    <w:p w14:paraId="3F1E3C1B">
      <w:pPr>
        <w:pStyle w:val="13"/>
        <w:spacing w:line="276" w:lineRule="auto"/>
        <w:ind w:firstLine="708"/>
        <w:jc w:val="both"/>
        <w:rPr>
          <w:sz w:val="12"/>
          <w:szCs w:val="12"/>
        </w:rPr>
      </w:pPr>
    </w:p>
    <w:p w14:paraId="02D65809">
      <w:pPr>
        <w:pStyle w:val="13"/>
        <w:numPr>
          <w:ilvl w:val="0"/>
          <w:numId w:val="2"/>
        </w:numPr>
        <w:spacing w:line="276" w:lineRule="auto"/>
        <w:jc w:val="both"/>
      </w:pPr>
      <w:r>
        <w:rPr>
          <w:rFonts w:eastAsiaTheme="minorEastAsia"/>
          <w:lang w:eastAsia="ja-JP"/>
        </w:rPr>
        <w:t>Необходимо п</w:t>
      </w:r>
      <w:r>
        <w:t>остроить сцену, несколько раз изменить положение или масштаб объектов для получения ключевых кадров видеоряда;</w:t>
      </w:r>
    </w:p>
    <w:p w14:paraId="23EAC74C">
      <w:pPr>
        <w:pStyle w:val="13"/>
        <w:numPr>
          <w:ilvl w:val="0"/>
          <w:numId w:val="2"/>
        </w:numPr>
        <w:spacing w:line="276" w:lineRule="auto"/>
        <w:jc w:val="both"/>
      </w:pPr>
      <w:r>
        <w:t>Отладить анимацию путем проигрывания видеоряда без рендеринга и сглаживания графика IPO Curve.</w:t>
      </w:r>
    </w:p>
    <w:p w14:paraId="65E27507">
      <w:pPr>
        <w:pStyle w:val="13"/>
        <w:numPr>
          <w:ilvl w:val="0"/>
          <w:numId w:val="2"/>
        </w:numPr>
        <w:spacing w:line="276" w:lineRule="auto"/>
        <w:jc w:val="both"/>
      </w:pPr>
      <w:r>
        <w:t>Осуществить финальный рендеринг видеоролика с использованием выбранного видеоформата, качества изображения и кодека;</w:t>
      </w:r>
    </w:p>
    <w:p w14:paraId="23FB2BBB">
      <w:pPr>
        <w:pStyle w:val="13"/>
        <w:spacing w:line="276" w:lineRule="auto"/>
        <w:ind w:left="708"/>
        <w:jc w:val="both"/>
      </w:pPr>
    </w:p>
    <w:p w14:paraId="4876E423">
      <w:pPr>
        <w:pStyle w:val="13"/>
        <w:spacing w:line="276" w:lineRule="auto"/>
        <w:ind w:left="708"/>
        <w:jc w:val="both"/>
      </w:pPr>
      <w:r>
        <w:t>Индивидуальный вариант задания отсутствует.</w:t>
      </w:r>
    </w:p>
    <w:p w14:paraId="499B02D2">
      <w:pPr>
        <w:pStyle w:val="13"/>
        <w:spacing w:line="360" w:lineRule="auto"/>
        <w:ind w:firstLine="708"/>
        <w:jc w:val="both"/>
        <w:rPr>
          <w:bCs/>
        </w:rPr>
      </w:pPr>
      <w:r>
        <w:rPr>
          <w:rFonts w:eastAsiaTheme="minorEastAsia"/>
          <w:bCs/>
          <w:lang w:eastAsia="ja-JP"/>
        </w:rPr>
        <w:t>Наименование и версия используемой среды моделирования</w:t>
      </w:r>
      <w:r>
        <w:rPr>
          <w:bCs/>
        </w:rPr>
        <w:t xml:space="preserve">: </w:t>
      </w:r>
      <w:r>
        <w:t>Blender 4.5.2</w:t>
      </w:r>
    </w:p>
    <w:p w14:paraId="53F318C0">
      <w:pPr>
        <w:pStyle w:val="13"/>
        <w:spacing w:line="276" w:lineRule="auto"/>
        <w:ind w:firstLine="708"/>
        <w:jc w:val="both"/>
      </w:pPr>
    </w:p>
    <w:p w14:paraId="56E7C12E">
      <w:pPr>
        <w:pStyle w:val="13"/>
        <w:spacing w:line="276" w:lineRule="auto"/>
        <w:ind w:firstLine="708"/>
        <w:jc w:val="both"/>
      </w:pPr>
    </w:p>
    <w:p w14:paraId="0C7E1BBE">
      <w:pPr>
        <w:pStyle w:val="13"/>
        <w:spacing w:line="276" w:lineRule="auto"/>
        <w:sectPr>
          <w:footerReference r:id="rId7" w:type="first"/>
          <w:headerReference r:id="rId5" w:type="default"/>
          <w:footerReference r:id="rId6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</w:p>
    <w:p w14:paraId="6BB92AC8">
      <w:pPr>
        <w:pStyle w:val="19"/>
        <w:numPr>
          <w:ilvl w:val="0"/>
          <w:numId w:val="3"/>
        </w:numPr>
        <w:spacing w:line="360" w:lineRule="auto"/>
        <w:ind w:left="1134" w:hanging="425"/>
      </w:pPr>
      <w:r>
        <w:t>Описание сцены и технология моделирования</w:t>
      </w:r>
    </w:p>
    <w:p w14:paraId="7533DFBF">
      <w:pPr>
        <w:pStyle w:val="13"/>
        <w:spacing w:line="276" w:lineRule="auto"/>
      </w:pPr>
    </w:p>
    <w:p w14:paraId="1F999F9E">
      <w:pPr>
        <w:pStyle w:val="19"/>
        <w:numPr>
          <w:ilvl w:val="1"/>
          <w:numId w:val="1"/>
        </w:numPr>
        <w:ind w:left="1276" w:hanging="567"/>
      </w:pPr>
      <w:r>
        <w:t>Словесное описание сцены</w:t>
      </w:r>
    </w:p>
    <w:p w14:paraId="4EFF2387">
      <w:pPr>
        <w:pStyle w:val="13"/>
        <w:spacing w:line="276" w:lineRule="auto"/>
      </w:pPr>
    </w:p>
    <w:p w14:paraId="53758077">
      <w:pPr>
        <w:suppressAutoHyphens w:val="0"/>
        <w:spacing w:after="160" w:line="259" w:lineRule="auto"/>
        <w:ind w:firstLine="708" w:firstLineChars="0"/>
        <w:jc w:val="both"/>
      </w:pPr>
      <w:r>
        <w:t>В созданной сцене представлена анимация персонажа, ранее смоделированного в предыдущей лабораторной работе. Основной объект — фигурка с крупной шляпой-грибом — теперь оживлён с помощью анимации движений головы, глаз и рта, создающих эффект разговора и моргания. В сцене также присутствует раскрытая сферическая капсула и куб, заменяющий предыдущий объект-основание. Оба вспомогательных объекта участвуют в анимации: они совершают плавные движения и перемещения в пространстве, усиливая динамичность композиции. Освещение реализовано с использованием источника типа «Солнце» (Sun), создающего реалистичные тени и объём. Камера зафиксирована под выбранным углом, обеспечивающим наилучший обзор действий персонажа и взаимодействующих объектов. Общая композиция направлена на создание короткого анимированного фрагмента, демонстрирующего базовые принципы движения и мимики в Blender.</w:t>
      </w:r>
    </w:p>
    <w:p w14:paraId="40DB0890">
      <w:pPr>
        <w:suppressAutoHyphens w:val="0"/>
        <w:spacing w:after="160" w:line="259" w:lineRule="auto"/>
        <w:ind w:firstLine="708" w:firstLineChars="0"/>
        <w:jc w:val="both"/>
      </w:pPr>
    </w:p>
    <w:p w14:paraId="187D8AE1">
      <w:pPr>
        <w:pStyle w:val="19"/>
        <w:numPr>
          <w:ilvl w:val="1"/>
          <w:numId w:val="1"/>
        </w:numPr>
        <w:ind w:left="1276" w:hanging="567"/>
      </w:pPr>
      <w:r>
        <w:t>Описание технологии создания сцены</w:t>
      </w:r>
    </w:p>
    <w:p w14:paraId="4869A8CD">
      <w:pPr>
        <w:pStyle w:val="13"/>
        <w:spacing w:line="276" w:lineRule="auto"/>
      </w:pPr>
    </w:p>
    <w:p w14:paraId="604DD1FA">
      <w:pPr>
        <w:ind w:firstLine="708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Для реализации анимационной сцены использовались следующие этапы и методы:</w:t>
      </w:r>
    </w:p>
    <w:p w14:paraId="11A030CE">
      <w:pPr>
        <w:jc w:val="both"/>
        <w:rPr>
          <w:rFonts w:hint="default"/>
          <w:lang w:val="en-US"/>
        </w:rPr>
      </w:pPr>
    </w:p>
    <w:p w14:paraId="70202153">
      <w:pPr>
        <w:numPr>
          <w:ilvl w:val="0"/>
          <w:numId w:val="4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Подготовка сцены: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Исходная композиция была импортирована из предыдущей лабораторной работы. Из сцены удалён старый куб, а на его место добавлен новый примитив (Add → Mesh → Cube), масштабированный и позиционированный в соответствии с новой композицией.</w:t>
      </w:r>
    </w:p>
    <w:p w14:paraId="648575B3">
      <w:pPr>
        <w:jc w:val="both"/>
        <w:rPr>
          <w:rFonts w:hint="default"/>
          <w:lang w:val="en-US"/>
        </w:rPr>
      </w:pPr>
    </w:p>
    <w:p w14:paraId="2A37DF5A">
      <w:pPr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Настройка анимации персонажа: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– Для головы и рта персонажа созданы ключевые кадры, обеспечивающие иллюзию разговора.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– Для глаз выполнена анимация моргания путём изменения масштаба век или движения отдельных элементов сетки.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– Ключевые кадры выставлялись на временной шкале (Timeline) с учётом плавности и реалистичности движений.</w:t>
      </w:r>
    </w:p>
    <w:p w14:paraId="5DB4DB50">
      <w:pPr>
        <w:jc w:val="both"/>
        <w:rPr>
          <w:rFonts w:hint="default"/>
          <w:lang w:val="en-US"/>
        </w:rPr>
      </w:pPr>
    </w:p>
    <w:p w14:paraId="5532EB0D">
      <w:pPr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Анимация вспомогательных объектов: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– Открытая сфера и куб получили траектории движения: они изменяют положение и угол поворота в пространстве.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– Для плавности переходов применена интерполяция и редактирование кривых в редакторе Graph Editor (IPO Curve).</w:t>
      </w:r>
    </w:p>
    <w:p w14:paraId="71CE3712">
      <w:pPr>
        <w:jc w:val="both"/>
        <w:rPr>
          <w:rFonts w:hint="default"/>
          <w:lang w:val="en-US"/>
        </w:rPr>
      </w:pPr>
    </w:p>
    <w:p w14:paraId="23C5D219">
      <w:pPr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Работа с освещением и камерой: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– Основное освещение реализовано с помощью источника типа «Солнце» (Sun), угол которого подобран для передачи ощущения утреннего или вечернего освещения.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– Камера закреплена в фиксированной позиции, а при необходимости отрегулированы параметры фокусного расстояния и угла обзора, чтобы подчеркнуть движение персонажа.</w:t>
      </w:r>
    </w:p>
    <w:p w14:paraId="4283B251">
      <w:pPr>
        <w:jc w:val="both"/>
        <w:rPr>
          <w:rFonts w:hint="default"/>
          <w:lang w:val="en-US"/>
        </w:rPr>
      </w:pPr>
    </w:p>
    <w:p w14:paraId="44B356D0">
      <w:pPr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Отладка и предварительный просмотр: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– Перед финальным рендерингом анимация тестировалась в режиме просмотра (Viewport Shading → Material Preview / Rendered).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– Были отредактированы графики движения в Graph Editor для сглаживания и устранения рывков.</w:t>
      </w:r>
    </w:p>
    <w:p w14:paraId="002D7948">
      <w:pPr>
        <w:jc w:val="both"/>
        <w:rPr>
          <w:rFonts w:hint="default"/>
          <w:lang w:val="en-US"/>
        </w:rPr>
      </w:pPr>
    </w:p>
    <w:p w14:paraId="195FBBF0">
      <w:pPr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Финальный рендеринг: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– Выполнен финальный рендеринг видеоролика в формате MP4 (кодек FFmpeg), с выбранным разрешением и частотой кадров.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– Результирующий видеоролик экспортирован в заданную директорию проекта.</w:t>
      </w:r>
    </w:p>
    <w:p w14:paraId="63A1ADA5">
      <w:pPr>
        <w:jc w:val="both"/>
        <w:rPr>
          <w:rFonts w:hint="default"/>
          <w:lang w:val="en-US"/>
        </w:rPr>
      </w:pPr>
    </w:p>
    <w:p w14:paraId="61BC8784">
      <w:pPr>
        <w:jc w:val="both"/>
        <w:rPr>
          <w:highlight w:val="darkGray"/>
        </w:rPr>
      </w:pPr>
      <w:r>
        <w:rPr>
          <w:highlight w:val="darkGray"/>
        </w:rPr>
        <w:br w:type="page"/>
      </w:r>
    </w:p>
    <w:p w14:paraId="0E4F9FCA">
      <w:pPr>
        <w:pStyle w:val="19"/>
        <w:numPr>
          <w:ilvl w:val="0"/>
          <w:numId w:val="3"/>
        </w:numPr>
        <w:ind w:left="1134" w:hanging="425"/>
      </w:pPr>
      <w:r>
        <w:rPr>
          <w:lang w:eastAsia="ja-JP"/>
        </w:rPr>
        <w:t>Результаты выполнения работы</w:t>
      </w:r>
    </w:p>
    <w:p w14:paraId="6B2B8795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151245" cy="3254375"/>
            <wp:effectExtent l="0" t="0" r="5715" b="6985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1245" cy="3254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05E39E">
      <w:pPr>
        <w:pStyle w:val="13"/>
        <w:spacing w:line="276" w:lineRule="auto"/>
        <w:jc w:val="center"/>
        <w:rPr>
          <w:rFonts w:eastAsiaTheme="minorEastAsia"/>
          <w:lang w:eastAsia="ja-JP"/>
        </w:rPr>
      </w:pPr>
      <w:r>
        <w:t xml:space="preserve">Рисунок 1. Результат моделирования </w:t>
      </w:r>
      <w:r>
        <w:rPr>
          <w:rFonts w:eastAsiaTheme="minorEastAsia"/>
          <w:lang w:eastAsia="ja-JP"/>
        </w:rPr>
        <w:t>«</w:t>
      </w:r>
      <w:r>
        <w:rPr>
          <w:rFonts w:hint="default" w:eastAsiaTheme="minorEastAsia"/>
          <w:lang w:val="en-US" w:eastAsia="ja-JP"/>
        </w:rPr>
        <w:t>viewport shading Rendered</w:t>
      </w:r>
      <w:r>
        <w:rPr>
          <w:rFonts w:eastAsiaTheme="minorEastAsia"/>
          <w:lang w:eastAsia="ja-JP"/>
        </w:rPr>
        <w:t>»</w:t>
      </w:r>
    </w:p>
    <w:p w14:paraId="6D0AEC5B">
      <w:pPr>
        <w:pStyle w:val="13"/>
        <w:spacing w:line="276" w:lineRule="auto"/>
      </w:pPr>
    </w:p>
    <w:p w14:paraId="24BAC778">
      <w:pPr>
        <w:pStyle w:val="13"/>
        <w:spacing w:line="276" w:lineRule="auto"/>
      </w:pPr>
    </w:p>
    <w:p w14:paraId="384D2FE0">
      <w:pPr>
        <w:pStyle w:val="13"/>
        <w:spacing w:line="276" w:lineRule="auto"/>
        <w:jc w:val="center"/>
      </w:pPr>
      <w:r>
        <w:drawing>
          <wp:inline distT="0" distB="0" distL="114300" distR="114300">
            <wp:extent cx="5935345" cy="4338955"/>
            <wp:effectExtent l="0" t="0" r="8255" b="444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03A4B">
      <w:pPr>
        <w:pStyle w:val="13"/>
      </w:pPr>
    </w:p>
    <w:p w14:paraId="2CD80241">
      <w:pPr>
        <w:pStyle w:val="13"/>
        <w:spacing w:line="276" w:lineRule="auto"/>
        <w:jc w:val="center"/>
      </w:pPr>
      <w:r>
        <w:t>Рисунок 2. Результат модел</w:t>
      </w:r>
      <w:bookmarkStart w:id="1" w:name="_GoBack"/>
      <w:bookmarkEnd w:id="1"/>
      <w:r>
        <w:t>ирования «</w:t>
      </w:r>
      <w:r>
        <w:rPr>
          <w:rFonts w:hint="default"/>
          <w:lang w:val="en-US"/>
        </w:rPr>
        <w:t>Rendered анимация</w:t>
      </w:r>
      <w:r>
        <w:t>»</w:t>
      </w:r>
    </w:p>
    <w:p w14:paraId="23776F71">
      <w:pPr>
        <w:pStyle w:val="18"/>
        <w:keepNext/>
        <w:keepLines/>
        <w:numPr>
          <w:ilvl w:val="0"/>
          <w:numId w:val="1"/>
        </w:numPr>
        <w:spacing w:before="40" w:line="276" w:lineRule="auto"/>
        <w:contextualSpacing w:val="0"/>
        <w:jc w:val="both"/>
        <w:outlineLvl w:val="1"/>
        <w:rPr>
          <w:rFonts w:eastAsiaTheme="majorEastAsia" w:cstheme="majorBidi"/>
          <w:b/>
          <w:vanish/>
          <w:color w:val="000000" w:themeColor="text1"/>
          <w14:textFill>
            <w14:solidFill>
              <w14:schemeClr w14:val="tx1"/>
            </w14:solidFill>
          </w14:textFill>
        </w:rPr>
      </w:pPr>
    </w:p>
    <w:p w14:paraId="50E0F1EC">
      <w:pPr>
        <w:pStyle w:val="13"/>
        <w:spacing w:line="276" w:lineRule="auto"/>
        <w:jc w:val="both"/>
      </w:pPr>
      <w:r>
        <w:drawing>
          <wp:inline distT="0" distB="0" distL="114300" distR="114300">
            <wp:extent cx="5935345" cy="3813810"/>
            <wp:effectExtent l="0" t="0" r="8255" b="1143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43200">
      <w:pPr>
        <w:pStyle w:val="13"/>
        <w:spacing w:line="276" w:lineRule="auto"/>
        <w:jc w:val="both"/>
      </w:pPr>
    </w:p>
    <w:p w14:paraId="036B3354">
      <w:pPr>
        <w:pStyle w:val="13"/>
        <w:spacing w:line="276" w:lineRule="auto"/>
        <w:jc w:val="center"/>
      </w:pPr>
      <w:r>
        <w:t xml:space="preserve">Рисунок </w:t>
      </w:r>
      <w:r>
        <w:rPr>
          <w:rFonts w:hint="default"/>
          <w:lang w:val="en-US"/>
        </w:rPr>
        <w:t>3</w:t>
      </w:r>
      <w:r>
        <w:t>. Результат моделирования «</w:t>
      </w:r>
      <w:r>
        <w:rPr>
          <w:rFonts w:hint="default"/>
          <w:lang w:val="en-US"/>
        </w:rPr>
        <w:t>viewport shading: solid</w:t>
      </w:r>
      <w:r>
        <w:t>»</w:t>
      </w:r>
    </w:p>
    <w:p w14:paraId="060E278E">
      <w:pPr>
        <w:pStyle w:val="13"/>
        <w:spacing w:line="276" w:lineRule="auto"/>
        <w:jc w:val="both"/>
        <w:sectPr>
          <w:pgSz w:w="11906" w:h="16838"/>
          <w:pgMar w:top="1134" w:right="851" w:bottom="1134" w:left="1701" w:header="709" w:footer="709" w:gutter="0"/>
          <w:cols w:space="708" w:num="1"/>
          <w:docGrid w:linePitch="360" w:charSpace="0"/>
        </w:sectPr>
      </w:pPr>
    </w:p>
    <w:p w14:paraId="538E9870">
      <w:pPr>
        <w:pStyle w:val="19"/>
        <w:numPr>
          <w:ilvl w:val="0"/>
          <w:numId w:val="0"/>
        </w:numPr>
        <w:spacing w:line="276" w:lineRule="auto"/>
        <w:jc w:val="center"/>
      </w:pPr>
      <w:r>
        <w:t>ЗАКЛЮЧЕНИЕ</w:t>
      </w:r>
    </w:p>
    <w:p w14:paraId="0FBDBA01">
      <w:pPr>
        <w:pStyle w:val="13"/>
        <w:spacing w:line="276" w:lineRule="auto"/>
      </w:pPr>
    </w:p>
    <w:p w14:paraId="3F850E0A">
      <w:pPr>
        <w:pStyle w:val="13"/>
        <w:spacing w:line="276" w:lineRule="auto"/>
      </w:pPr>
    </w:p>
    <w:p w14:paraId="405A9C2B">
      <w:pPr>
        <w:pStyle w:val="13"/>
        <w:spacing w:line="276" w:lineRule="auto"/>
        <w:ind w:firstLine="708" w:firstLineChars="0"/>
        <w:jc w:val="both"/>
      </w:pPr>
      <w:r>
        <w:t>В ходе лабораторной работы были освоены принципы создания и анимации трёхмерных объектов в Blender. На основе ранее смоделированной сцены выполнена анимация персонажа, включающая движение губ и моргание глаз, а также анимация дополнительных объектов — раскрытой сферы и куба. В процессе работы были изучены методы установки ключевых кадров, плавной интерполяции движений с использованием графика IPO Curve и финальный рендеринг видеоролика. Полученный результат подтвердил практическое понимание основ анимации, настройки сцены и рендеринга, а также продемонстрировал возможности Blender как профессионального инструмента для создания динамических 3D-композиций.</w:t>
      </w:r>
    </w:p>
    <w:p w14:paraId="2E6362AC">
      <w:pPr>
        <w:suppressAutoHyphens w:val="0"/>
        <w:spacing w:after="160" w:line="276" w:lineRule="auto"/>
      </w:pPr>
      <w:r>
        <w:br w:type="page"/>
      </w:r>
    </w:p>
    <w:p w14:paraId="0C429E2D">
      <w:pPr>
        <w:pStyle w:val="19"/>
        <w:numPr>
          <w:ilvl w:val="0"/>
          <w:numId w:val="0"/>
        </w:numPr>
        <w:spacing w:line="276" w:lineRule="auto"/>
        <w:jc w:val="center"/>
      </w:pPr>
      <w:r>
        <w:t>СПИСОК ИСПОЛЬЗОВАННЫХ ИСТОЧНИКОВ</w:t>
      </w:r>
    </w:p>
    <w:p w14:paraId="2668A456">
      <w:pPr>
        <w:pStyle w:val="13"/>
        <w:spacing w:line="276" w:lineRule="auto"/>
      </w:pPr>
    </w:p>
    <w:p w14:paraId="390DD636">
      <w:pPr>
        <w:pStyle w:val="13"/>
        <w:spacing w:line="276" w:lineRule="auto"/>
      </w:pPr>
    </w:p>
    <w:p w14:paraId="23CEFCA9">
      <w:pPr>
        <w:pStyle w:val="13"/>
        <w:numPr>
          <w:ilvl w:val="0"/>
          <w:numId w:val="5"/>
        </w:numPr>
        <w:spacing w:line="276" w:lineRule="auto"/>
        <w:ind w:left="426" w:hanging="426"/>
      </w:pPr>
      <w:r>
        <w:rPr>
          <w:lang w:eastAsia="ja-JP"/>
        </w:rPr>
        <w:t>Адонин</w:t>
      </w:r>
      <w:r>
        <w:rPr>
          <w:lang w:val="en-US" w:eastAsia="ja-JP"/>
        </w:rPr>
        <w:t xml:space="preserve"> </w:t>
      </w:r>
      <w:r>
        <w:rPr>
          <w:lang w:eastAsia="ja-JP"/>
        </w:rPr>
        <w:t>А</w:t>
      </w:r>
      <w:r>
        <w:rPr>
          <w:lang w:val="en-US" w:eastAsia="ja-JP"/>
        </w:rPr>
        <w:t xml:space="preserve">. </w:t>
      </w:r>
      <w:r>
        <w:rPr>
          <w:lang w:eastAsia="ja-JP"/>
        </w:rPr>
        <w:t>М</w:t>
      </w:r>
      <w:r>
        <w:rPr>
          <w:lang w:val="en-US" w:eastAsia="ja-JP"/>
        </w:rPr>
        <w:t xml:space="preserve">. </w:t>
      </w:r>
      <w:r>
        <w:rPr>
          <w:lang w:val="en-US"/>
        </w:rPr>
        <w:t xml:space="preserve">Blender 3D. </w:t>
      </w:r>
      <w:r>
        <w:rPr>
          <w:lang w:eastAsia="ja-JP"/>
        </w:rPr>
        <w:t>Полное руководство. — СПб.: Издательство «Наука и Техника», 2025. ― 544 с.: ил.</w:t>
      </w:r>
    </w:p>
    <w:p w14:paraId="03FC20E4">
      <w:pPr>
        <w:pStyle w:val="13"/>
        <w:spacing w:line="276" w:lineRule="auto"/>
        <w:rPr>
          <w:sz w:val="16"/>
          <w:szCs w:val="16"/>
        </w:rPr>
      </w:pPr>
    </w:p>
    <w:p w14:paraId="3563110C">
      <w:pPr>
        <w:pStyle w:val="13"/>
        <w:numPr>
          <w:ilvl w:val="0"/>
          <w:numId w:val="5"/>
        </w:numPr>
        <w:spacing w:line="276" w:lineRule="auto"/>
        <w:ind w:left="426" w:hanging="426"/>
      </w:pPr>
      <w:r>
        <w:t xml:space="preserve">Серова М. Н. Учебник-самоучитель по графическому редактору </w:t>
      </w:r>
      <w:r>
        <w:rPr>
          <w:lang w:val="en-US"/>
        </w:rPr>
        <w:t>Blender</w:t>
      </w:r>
      <w:r>
        <w:t xml:space="preserve"> 3</w:t>
      </w:r>
      <w:r>
        <w:rPr>
          <w:lang w:val="en-US"/>
        </w:rPr>
        <w:t>D</w:t>
      </w:r>
      <w:r>
        <w:t>. Моделирование и дизайн. — М.: СОЛОН-Пресс, 2022. — 272 с.: ил.</w:t>
      </w:r>
    </w:p>
    <w:p w14:paraId="4AC036ED">
      <w:pPr>
        <w:pStyle w:val="13"/>
        <w:rPr>
          <w:sz w:val="16"/>
          <w:szCs w:val="16"/>
        </w:rPr>
      </w:pPr>
    </w:p>
    <w:p w14:paraId="7E0F778D">
      <w:pPr>
        <w:pStyle w:val="13"/>
        <w:numPr>
          <w:ilvl w:val="0"/>
          <w:numId w:val="5"/>
        </w:numPr>
        <w:spacing w:line="276" w:lineRule="auto"/>
        <w:ind w:left="426" w:hanging="426"/>
      </w:pPr>
      <w:r>
        <w:t xml:space="preserve">Справочное руководство по Blender 5.0 [Электронный ресурс] — CC-BY-SA 4.0 Int. License, 2025. — URL: </w:t>
      </w:r>
      <w:r>
        <w:fldChar w:fldCharType="begin"/>
      </w:r>
      <w:r>
        <w:instrText xml:space="preserve"> HYPERLINK "https://docs.blender.org/manual/ru/dev/" </w:instrText>
      </w:r>
      <w:r>
        <w:fldChar w:fldCharType="separate"/>
      </w:r>
      <w:r>
        <w:rPr>
          <w:rStyle w:val="6"/>
          <w:i/>
          <w:iCs/>
          <w:u w:val="none"/>
        </w:rPr>
        <w:t>https://docs.blender.org/manual/ru/dev/</w:t>
      </w:r>
      <w:r>
        <w:rPr>
          <w:rStyle w:val="6"/>
          <w:i/>
          <w:iCs/>
          <w:u w:val="none"/>
        </w:rPr>
        <w:fldChar w:fldCharType="end"/>
      </w:r>
      <w:r>
        <w:t xml:space="preserve"> </w:t>
      </w:r>
      <w:r>
        <w:br w:type="textWrapping"/>
      </w:r>
      <w:r>
        <w:t>(дата обращения: 13.09.2025)</w:t>
      </w:r>
    </w:p>
    <w:p w14:paraId="57055B31">
      <w:pPr>
        <w:pStyle w:val="13"/>
        <w:rPr>
          <w:sz w:val="16"/>
          <w:szCs w:val="16"/>
        </w:rPr>
      </w:pPr>
    </w:p>
    <w:p w14:paraId="0B47BD81">
      <w:pPr>
        <w:pStyle w:val="13"/>
        <w:numPr>
          <w:ilvl w:val="0"/>
          <w:numId w:val="5"/>
        </w:numPr>
        <w:spacing w:line="276" w:lineRule="auto"/>
        <w:ind w:left="426" w:hanging="426"/>
        <w:rPr>
          <w:lang w:val="en-US"/>
        </w:rPr>
      </w:pPr>
      <w:r>
        <w:rPr>
          <w:lang w:val="en-US"/>
        </w:rPr>
        <w:t>BlenderKit: 3D models, materials, brushes and HDRs for Blender [</w:t>
      </w:r>
      <w:r>
        <w:t>Электронный</w:t>
      </w:r>
      <w:r>
        <w:rPr>
          <w:lang w:val="en-US"/>
        </w:rPr>
        <w:t xml:space="preserve"> </w:t>
      </w:r>
      <w:r>
        <w:t>ресурс</w:t>
      </w:r>
      <w:r>
        <w:rPr>
          <w:lang w:val="en-US"/>
        </w:rPr>
        <w:t xml:space="preserve">] — BlenderKit, 2025. — URL: </w:t>
      </w:r>
      <w:r>
        <w:fldChar w:fldCharType="begin"/>
      </w:r>
      <w:r>
        <w:instrText xml:space="preserve"> HYPERLINK "https://www.blenderkit.com/" </w:instrText>
      </w:r>
      <w:r>
        <w:fldChar w:fldCharType="separate"/>
      </w:r>
      <w:r>
        <w:rPr>
          <w:rStyle w:val="6"/>
          <w:i/>
          <w:iCs/>
          <w:u w:val="none"/>
          <w:lang w:val="en-US"/>
        </w:rPr>
        <w:t>https://www.blenderkit.com/</w:t>
      </w:r>
      <w:r>
        <w:rPr>
          <w:rStyle w:val="6"/>
          <w:i/>
          <w:iCs/>
          <w:u w:val="none"/>
          <w:lang w:val="en-US"/>
        </w:rPr>
        <w:fldChar w:fldCharType="end"/>
      </w:r>
      <w:r>
        <w:rPr>
          <w:lang w:val="en-US"/>
        </w:rPr>
        <w:t xml:space="preserve"> </w:t>
      </w:r>
      <w:r>
        <w:rPr>
          <w:lang w:val="en-US"/>
        </w:rPr>
        <w:br w:type="textWrapping"/>
      </w:r>
      <w:r>
        <w:rPr>
          <w:lang w:val="en-US"/>
        </w:rPr>
        <w:t>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13.09.2025)</w:t>
      </w:r>
    </w:p>
    <w:p w14:paraId="3E6BADDE">
      <w:pPr>
        <w:pStyle w:val="13"/>
        <w:rPr>
          <w:sz w:val="16"/>
          <w:szCs w:val="16"/>
          <w:lang w:val="en-US"/>
        </w:rPr>
      </w:pPr>
    </w:p>
    <w:p w14:paraId="05AC4F52">
      <w:pPr>
        <w:pStyle w:val="13"/>
        <w:spacing w:line="276" w:lineRule="auto"/>
        <w:rPr>
          <w:lang w:val="en-US"/>
        </w:rPr>
      </w:pPr>
    </w:p>
    <w:p w14:paraId="1FC798AF">
      <w:pPr>
        <w:pStyle w:val="13"/>
        <w:spacing w:line="276" w:lineRule="auto"/>
        <w:rPr>
          <w:lang w:val="en-US"/>
        </w:rPr>
      </w:pPr>
    </w:p>
    <w:p w14:paraId="18FFA91A">
      <w:pPr>
        <w:suppressAutoHyphens w:val="0"/>
        <w:spacing w:after="160" w:line="276" w:lineRule="auto"/>
        <w:rPr>
          <w:lang w:val="en-US"/>
        </w:rPr>
      </w:pPr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游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15298390"/>
      <w:docPartObj>
        <w:docPartGallery w:val="AutoText"/>
      </w:docPartObj>
    </w:sdtPr>
    <w:sdtContent>
      <w:p w14:paraId="48642290">
        <w:pPr>
          <w:pStyle w:val="1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178B93">
    <w:pPr>
      <w:pStyle w:val="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85EBC1">
    <w:pPr>
      <w:pStyle w:val="13"/>
      <w:jc w:val="center"/>
    </w:pPr>
    <w:r>
      <w:t>Санкт-Петербург 20</w:t>
    </w:r>
    <w:r>
      <w:rPr>
        <w:lang w:val="en-US"/>
      </w:rPr>
      <w:t>2</w:t>
    </w:r>
    <w:r>
      <w:t>5</w:t>
    </w:r>
  </w:p>
  <w:p w14:paraId="7F884CE6">
    <w:pPr>
      <w:pStyle w:val="13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16DC32">
    <w:pPr>
      <w:pStyle w:val="9"/>
      <w:tabs>
        <w:tab w:val="left" w:pos="2961"/>
        <w:tab w:val="clear" w:pos="4677"/>
        <w:tab w:val="clear" w:pos="9355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43F6B1"/>
    <w:multiLevelType w:val="singleLevel"/>
    <w:tmpl w:val="DF43F6B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6C5386F"/>
    <w:multiLevelType w:val="multilevel"/>
    <w:tmpl w:val="16C5386F"/>
    <w:lvl w:ilvl="0" w:tentative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8" w:hanging="360"/>
      </w:pPr>
    </w:lvl>
    <w:lvl w:ilvl="2" w:tentative="0">
      <w:start w:val="1"/>
      <w:numFmt w:val="lowerRoman"/>
      <w:lvlText w:val="%3."/>
      <w:lvlJc w:val="right"/>
      <w:pPr>
        <w:ind w:left="2508" w:hanging="180"/>
      </w:pPr>
    </w:lvl>
    <w:lvl w:ilvl="3" w:tentative="0">
      <w:start w:val="1"/>
      <w:numFmt w:val="decimal"/>
      <w:lvlText w:val="%4."/>
      <w:lvlJc w:val="left"/>
      <w:pPr>
        <w:ind w:left="3228" w:hanging="360"/>
      </w:pPr>
    </w:lvl>
    <w:lvl w:ilvl="4" w:tentative="0">
      <w:start w:val="1"/>
      <w:numFmt w:val="lowerLetter"/>
      <w:lvlText w:val="%5."/>
      <w:lvlJc w:val="left"/>
      <w:pPr>
        <w:ind w:left="3948" w:hanging="360"/>
      </w:pPr>
    </w:lvl>
    <w:lvl w:ilvl="5" w:tentative="0">
      <w:start w:val="1"/>
      <w:numFmt w:val="lowerRoman"/>
      <w:lvlText w:val="%6."/>
      <w:lvlJc w:val="right"/>
      <w:pPr>
        <w:ind w:left="4668" w:hanging="180"/>
      </w:pPr>
    </w:lvl>
    <w:lvl w:ilvl="6" w:tentative="0">
      <w:start w:val="1"/>
      <w:numFmt w:val="decimal"/>
      <w:lvlText w:val="%7."/>
      <w:lvlJc w:val="left"/>
      <w:pPr>
        <w:ind w:left="5388" w:hanging="360"/>
      </w:pPr>
    </w:lvl>
    <w:lvl w:ilvl="7" w:tentative="0">
      <w:start w:val="1"/>
      <w:numFmt w:val="lowerLetter"/>
      <w:lvlText w:val="%8."/>
      <w:lvlJc w:val="left"/>
      <w:pPr>
        <w:ind w:left="6108" w:hanging="360"/>
      </w:pPr>
    </w:lvl>
    <w:lvl w:ilvl="8" w:tentative="0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4150684E"/>
    <w:multiLevelType w:val="multilevel"/>
    <w:tmpl w:val="4150684E"/>
    <w:lvl w:ilvl="0" w:tentative="0">
      <w:start w:val="1"/>
      <w:numFmt w:val="decimal"/>
      <w:pStyle w:val="19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3">
    <w:nsid w:val="44A24270"/>
    <w:multiLevelType w:val="multilevel"/>
    <w:tmpl w:val="44A24270"/>
    <w:lvl w:ilvl="0" w:tentative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214" w:hanging="360"/>
      </w:pPr>
    </w:lvl>
    <w:lvl w:ilvl="2" w:tentative="0">
      <w:start w:val="1"/>
      <w:numFmt w:val="lowerRoman"/>
      <w:lvlText w:val="%3."/>
      <w:lvlJc w:val="right"/>
      <w:pPr>
        <w:ind w:left="2934" w:hanging="180"/>
      </w:pPr>
    </w:lvl>
    <w:lvl w:ilvl="3" w:tentative="0">
      <w:start w:val="1"/>
      <w:numFmt w:val="decimal"/>
      <w:lvlText w:val="%4."/>
      <w:lvlJc w:val="left"/>
      <w:pPr>
        <w:ind w:left="3654" w:hanging="360"/>
      </w:pPr>
    </w:lvl>
    <w:lvl w:ilvl="4" w:tentative="0">
      <w:start w:val="1"/>
      <w:numFmt w:val="lowerLetter"/>
      <w:lvlText w:val="%5."/>
      <w:lvlJc w:val="left"/>
      <w:pPr>
        <w:ind w:left="4374" w:hanging="360"/>
      </w:pPr>
    </w:lvl>
    <w:lvl w:ilvl="5" w:tentative="0">
      <w:start w:val="1"/>
      <w:numFmt w:val="lowerRoman"/>
      <w:lvlText w:val="%6."/>
      <w:lvlJc w:val="right"/>
      <w:pPr>
        <w:ind w:left="5094" w:hanging="180"/>
      </w:pPr>
    </w:lvl>
    <w:lvl w:ilvl="6" w:tentative="0">
      <w:start w:val="1"/>
      <w:numFmt w:val="decimal"/>
      <w:lvlText w:val="%7."/>
      <w:lvlJc w:val="left"/>
      <w:pPr>
        <w:ind w:left="5814" w:hanging="360"/>
      </w:pPr>
    </w:lvl>
    <w:lvl w:ilvl="7" w:tentative="0">
      <w:start w:val="1"/>
      <w:numFmt w:val="lowerLetter"/>
      <w:lvlText w:val="%8."/>
      <w:lvlJc w:val="left"/>
      <w:pPr>
        <w:ind w:left="6534" w:hanging="360"/>
      </w:pPr>
    </w:lvl>
    <w:lvl w:ilvl="8" w:tentative="0">
      <w:start w:val="1"/>
      <w:numFmt w:val="lowerRoman"/>
      <w:lvlText w:val="%9."/>
      <w:lvlJc w:val="right"/>
      <w:pPr>
        <w:ind w:left="7254" w:hanging="180"/>
      </w:pPr>
    </w:lvl>
  </w:abstractNum>
  <w:abstractNum w:abstractNumId="4">
    <w:nsid w:val="475B34AE"/>
    <w:multiLevelType w:val="multilevel"/>
    <w:tmpl w:val="475B34AE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E10"/>
    <w:rsid w:val="00010811"/>
    <w:rsid w:val="000112F4"/>
    <w:rsid w:val="000132E0"/>
    <w:rsid w:val="00013C2A"/>
    <w:rsid w:val="00024452"/>
    <w:rsid w:val="00026DAD"/>
    <w:rsid w:val="00033532"/>
    <w:rsid w:val="00036250"/>
    <w:rsid w:val="00047D07"/>
    <w:rsid w:val="00056EDA"/>
    <w:rsid w:val="00065E10"/>
    <w:rsid w:val="00065E22"/>
    <w:rsid w:val="000719DF"/>
    <w:rsid w:val="000773A0"/>
    <w:rsid w:val="00094DCB"/>
    <w:rsid w:val="000A1AD1"/>
    <w:rsid w:val="000B6E86"/>
    <w:rsid w:val="000B7A51"/>
    <w:rsid w:val="000C7A1F"/>
    <w:rsid w:val="000D4205"/>
    <w:rsid w:val="000E5450"/>
    <w:rsid w:val="000F1998"/>
    <w:rsid w:val="00103687"/>
    <w:rsid w:val="001125F9"/>
    <w:rsid w:val="00123351"/>
    <w:rsid w:val="00124701"/>
    <w:rsid w:val="001315A6"/>
    <w:rsid w:val="00136B00"/>
    <w:rsid w:val="001426FB"/>
    <w:rsid w:val="00143FBE"/>
    <w:rsid w:val="00154554"/>
    <w:rsid w:val="00160DE8"/>
    <w:rsid w:val="00182BFC"/>
    <w:rsid w:val="00184D07"/>
    <w:rsid w:val="001B632C"/>
    <w:rsid w:val="001B6775"/>
    <w:rsid w:val="001C221B"/>
    <w:rsid w:val="001C5896"/>
    <w:rsid w:val="001D0EA4"/>
    <w:rsid w:val="001E1318"/>
    <w:rsid w:val="001E3972"/>
    <w:rsid w:val="001E3D6E"/>
    <w:rsid w:val="002103D7"/>
    <w:rsid w:val="00213616"/>
    <w:rsid w:val="00221344"/>
    <w:rsid w:val="00222438"/>
    <w:rsid w:val="00235EBC"/>
    <w:rsid w:val="00237F6A"/>
    <w:rsid w:val="002453AF"/>
    <w:rsid w:val="002626F8"/>
    <w:rsid w:val="002757CC"/>
    <w:rsid w:val="00277C28"/>
    <w:rsid w:val="002823A4"/>
    <w:rsid w:val="00282BC4"/>
    <w:rsid w:val="002956DD"/>
    <w:rsid w:val="002A0652"/>
    <w:rsid w:val="002B064A"/>
    <w:rsid w:val="002B6A7E"/>
    <w:rsid w:val="002C4948"/>
    <w:rsid w:val="002D4A26"/>
    <w:rsid w:val="002F6592"/>
    <w:rsid w:val="00300D5D"/>
    <w:rsid w:val="00322859"/>
    <w:rsid w:val="00332CE2"/>
    <w:rsid w:val="00342C4B"/>
    <w:rsid w:val="003452C2"/>
    <w:rsid w:val="003A0B6C"/>
    <w:rsid w:val="003A5504"/>
    <w:rsid w:val="003A6261"/>
    <w:rsid w:val="003B32AF"/>
    <w:rsid w:val="003D200C"/>
    <w:rsid w:val="003E1D61"/>
    <w:rsid w:val="003E297B"/>
    <w:rsid w:val="003E329C"/>
    <w:rsid w:val="003F28E9"/>
    <w:rsid w:val="00404A4E"/>
    <w:rsid w:val="004105D8"/>
    <w:rsid w:val="0042336C"/>
    <w:rsid w:val="00442516"/>
    <w:rsid w:val="004442F2"/>
    <w:rsid w:val="00454382"/>
    <w:rsid w:val="00455963"/>
    <w:rsid w:val="00461B48"/>
    <w:rsid w:val="00464A3D"/>
    <w:rsid w:val="00484350"/>
    <w:rsid w:val="004A6200"/>
    <w:rsid w:val="004B0406"/>
    <w:rsid w:val="004D2964"/>
    <w:rsid w:val="004E2A14"/>
    <w:rsid w:val="004E4522"/>
    <w:rsid w:val="00516527"/>
    <w:rsid w:val="00523561"/>
    <w:rsid w:val="00555EAF"/>
    <w:rsid w:val="00557B58"/>
    <w:rsid w:val="0056520A"/>
    <w:rsid w:val="005657C2"/>
    <w:rsid w:val="00565B81"/>
    <w:rsid w:val="00585EAB"/>
    <w:rsid w:val="005A22DE"/>
    <w:rsid w:val="005C3A6A"/>
    <w:rsid w:val="005D73BC"/>
    <w:rsid w:val="005E5695"/>
    <w:rsid w:val="00614FB4"/>
    <w:rsid w:val="00637C5A"/>
    <w:rsid w:val="006452BC"/>
    <w:rsid w:val="006710CA"/>
    <w:rsid w:val="00671A89"/>
    <w:rsid w:val="00674616"/>
    <w:rsid w:val="0068103D"/>
    <w:rsid w:val="00682766"/>
    <w:rsid w:val="006827EE"/>
    <w:rsid w:val="0068470F"/>
    <w:rsid w:val="00687C41"/>
    <w:rsid w:val="00692E1A"/>
    <w:rsid w:val="006966AE"/>
    <w:rsid w:val="006A0E58"/>
    <w:rsid w:val="006A2FB9"/>
    <w:rsid w:val="006D2FB5"/>
    <w:rsid w:val="006D4424"/>
    <w:rsid w:val="006F36F8"/>
    <w:rsid w:val="00703C63"/>
    <w:rsid w:val="0075198E"/>
    <w:rsid w:val="0075266B"/>
    <w:rsid w:val="0076144C"/>
    <w:rsid w:val="00762CA8"/>
    <w:rsid w:val="00782E99"/>
    <w:rsid w:val="00785988"/>
    <w:rsid w:val="00791341"/>
    <w:rsid w:val="007A7E4D"/>
    <w:rsid w:val="007B70D2"/>
    <w:rsid w:val="007D2EC7"/>
    <w:rsid w:val="007E1A31"/>
    <w:rsid w:val="007E4894"/>
    <w:rsid w:val="007E4D71"/>
    <w:rsid w:val="007E68AB"/>
    <w:rsid w:val="007F68D1"/>
    <w:rsid w:val="0081125C"/>
    <w:rsid w:val="00821CBE"/>
    <w:rsid w:val="008267D4"/>
    <w:rsid w:val="008461F1"/>
    <w:rsid w:val="0084629E"/>
    <w:rsid w:val="00846655"/>
    <w:rsid w:val="008466EE"/>
    <w:rsid w:val="00853117"/>
    <w:rsid w:val="00887771"/>
    <w:rsid w:val="00887E68"/>
    <w:rsid w:val="00897494"/>
    <w:rsid w:val="008A03CC"/>
    <w:rsid w:val="008A23A1"/>
    <w:rsid w:val="008B0D0C"/>
    <w:rsid w:val="008B4096"/>
    <w:rsid w:val="008E412E"/>
    <w:rsid w:val="009036A0"/>
    <w:rsid w:val="00912FFA"/>
    <w:rsid w:val="00914A6C"/>
    <w:rsid w:val="00926D7B"/>
    <w:rsid w:val="00935863"/>
    <w:rsid w:val="00936A89"/>
    <w:rsid w:val="0093748A"/>
    <w:rsid w:val="009430BF"/>
    <w:rsid w:val="00982C72"/>
    <w:rsid w:val="00991CC6"/>
    <w:rsid w:val="00996FAA"/>
    <w:rsid w:val="009A6789"/>
    <w:rsid w:val="009B56F9"/>
    <w:rsid w:val="009B7451"/>
    <w:rsid w:val="009C5311"/>
    <w:rsid w:val="009C7213"/>
    <w:rsid w:val="009C7217"/>
    <w:rsid w:val="009D5F62"/>
    <w:rsid w:val="009D671B"/>
    <w:rsid w:val="009D6DAB"/>
    <w:rsid w:val="009E0F8B"/>
    <w:rsid w:val="00A00DF5"/>
    <w:rsid w:val="00A10CFE"/>
    <w:rsid w:val="00A2168A"/>
    <w:rsid w:val="00A3115E"/>
    <w:rsid w:val="00A33028"/>
    <w:rsid w:val="00A479E7"/>
    <w:rsid w:val="00A523C3"/>
    <w:rsid w:val="00A62E33"/>
    <w:rsid w:val="00A637C1"/>
    <w:rsid w:val="00A807AE"/>
    <w:rsid w:val="00A95DE5"/>
    <w:rsid w:val="00A97C6E"/>
    <w:rsid w:val="00AD2293"/>
    <w:rsid w:val="00AD2721"/>
    <w:rsid w:val="00AF2DC8"/>
    <w:rsid w:val="00B00B7A"/>
    <w:rsid w:val="00B07F75"/>
    <w:rsid w:val="00B16E92"/>
    <w:rsid w:val="00B23391"/>
    <w:rsid w:val="00B53BBB"/>
    <w:rsid w:val="00B56AC4"/>
    <w:rsid w:val="00B60353"/>
    <w:rsid w:val="00B607F9"/>
    <w:rsid w:val="00B61255"/>
    <w:rsid w:val="00B71520"/>
    <w:rsid w:val="00B91029"/>
    <w:rsid w:val="00B96D90"/>
    <w:rsid w:val="00BA52C6"/>
    <w:rsid w:val="00BC7A58"/>
    <w:rsid w:val="00BE77AF"/>
    <w:rsid w:val="00BF09BD"/>
    <w:rsid w:val="00BF55A3"/>
    <w:rsid w:val="00BF584C"/>
    <w:rsid w:val="00C1223F"/>
    <w:rsid w:val="00C1668B"/>
    <w:rsid w:val="00C273DA"/>
    <w:rsid w:val="00C42CB2"/>
    <w:rsid w:val="00C567F5"/>
    <w:rsid w:val="00C57B30"/>
    <w:rsid w:val="00C64301"/>
    <w:rsid w:val="00C8277B"/>
    <w:rsid w:val="00C87389"/>
    <w:rsid w:val="00C87B9A"/>
    <w:rsid w:val="00C87FF7"/>
    <w:rsid w:val="00CB47C3"/>
    <w:rsid w:val="00CC6A57"/>
    <w:rsid w:val="00CD09E4"/>
    <w:rsid w:val="00CF0789"/>
    <w:rsid w:val="00D02151"/>
    <w:rsid w:val="00D021F0"/>
    <w:rsid w:val="00D21A17"/>
    <w:rsid w:val="00D239E4"/>
    <w:rsid w:val="00D337AC"/>
    <w:rsid w:val="00D36A6F"/>
    <w:rsid w:val="00D456D4"/>
    <w:rsid w:val="00D50B4B"/>
    <w:rsid w:val="00D62664"/>
    <w:rsid w:val="00D6738F"/>
    <w:rsid w:val="00D84B66"/>
    <w:rsid w:val="00D960F7"/>
    <w:rsid w:val="00DB1C85"/>
    <w:rsid w:val="00DB2616"/>
    <w:rsid w:val="00DB490B"/>
    <w:rsid w:val="00DD3FBD"/>
    <w:rsid w:val="00DE7698"/>
    <w:rsid w:val="00DF674A"/>
    <w:rsid w:val="00E173C0"/>
    <w:rsid w:val="00E22340"/>
    <w:rsid w:val="00E2625B"/>
    <w:rsid w:val="00E30C63"/>
    <w:rsid w:val="00E372D3"/>
    <w:rsid w:val="00E56AE9"/>
    <w:rsid w:val="00E56D8B"/>
    <w:rsid w:val="00E735A0"/>
    <w:rsid w:val="00E832AA"/>
    <w:rsid w:val="00EB3BC2"/>
    <w:rsid w:val="00EC23D4"/>
    <w:rsid w:val="00ED0534"/>
    <w:rsid w:val="00ED1B8F"/>
    <w:rsid w:val="00EE3E8C"/>
    <w:rsid w:val="00EF053F"/>
    <w:rsid w:val="00F003E3"/>
    <w:rsid w:val="00F06DB4"/>
    <w:rsid w:val="00F14D6B"/>
    <w:rsid w:val="00F15787"/>
    <w:rsid w:val="00F24553"/>
    <w:rsid w:val="00F331AD"/>
    <w:rsid w:val="00F372CC"/>
    <w:rsid w:val="00F4067A"/>
    <w:rsid w:val="00F42570"/>
    <w:rsid w:val="00F71108"/>
    <w:rsid w:val="00F7199D"/>
    <w:rsid w:val="00F7719E"/>
    <w:rsid w:val="00F851E7"/>
    <w:rsid w:val="00FA17AE"/>
    <w:rsid w:val="00FA6D05"/>
    <w:rsid w:val="00FC5D83"/>
    <w:rsid w:val="00FD096F"/>
    <w:rsid w:val="00FD5341"/>
    <w:rsid w:val="00FE7A40"/>
    <w:rsid w:val="00FF10DB"/>
    <w:rsid w:val="1A2F4F17"/>
    <w:rsid w:val="2FAA7E40"/>
    <w:rsid w:val="33B5563A"/>
    <w:rsid w:val="79DF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uiPriority w:val="0"/>
    <w:pPr>
      <w:suppressAutoHyphens/>
      <w:spacing w:after="0" w:line="240" w:lineRule="auto"/>
    </w:pPr>
    <w:rPr>
      <w:rFonts w:ascii="Cambria" w:hAnsi="Cambria" w:cs="Times New Roman" w:eastAsiaTheme="minorHAnsi"/>
      <w:sz w:val="24"/>
      <w:szCs w:val="24"/>
      <w:lang w:val="ru-RU" w:eastAsia="en-US" w:bidi="ar-SA"/>
    </w:rPr>
  </w:style>
  <w:style w:type="paragraph" w:styleId="2">
    <w:name w:val="heading 2"/>
    <w:basedOn w:val="1"/>
    <w:next w:val="1"/>
    <w:link w:val="17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otnote reference"/>
    <w:basedOn w:val="3"/>
    <w:semiHidden/>
    <w:unhideWhenUsed/>
    <w:qFormat/>
    <w:uiPriority w:val="99"/>
    <w:rPr>
      <w:vertAlign w:val="superscript"/>
    </w:r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footnote text"/>
    <w:basedOn w:val="1"/>
    <w:link w:val="22"/>
    <w:semiHidden/>
    <w:unhideWhenUsed/>
    <w:qFormat/>
    <w:uiPriority w:val="99"/>
    <w:pPr>
      <w:suppressAutoHyphens w:val="0"/>
    </w:pPr>
    <w:rPr>
      <w:rFonts w:cstheme="minorBidi"/>
      <w:sz w:val="20"/>
      <w:szCs w:val="20"/>
    </w:rPr>
  </w:style>
  <w:style w:type="paragraph" w:styleId="9">
    <w:name w:val="header"/>
    <w:basedOn w:val="1"/>
    <w:link w:val="15"/>
    <w:unhideWhenUsed/>
    <w:uiPriority w:val="99"/>
    <w:pPr>
      <w:tabs>
        <w:tab w:val="center" w:pos="4677"/>
        <w:tab w:val="right" w:pos="9355"/>
      </w:tabs>
    </w:pPr>
  </w:style>
  <w:style w:type="paragraph" w:styleId="10">
    <w:name w:val="footer"/>
    <w:basedOn w:val="1"/>
    <w:link w:val="16"/>
    <w:unhideWhenUsed/>
    <w:uiPriority w:val="99"/>
    <w:pPr>
      <w:tabs>
        <w:tab w:val="center" w:pos="4677"/>
        <w:tab w:val="right" w:pos="9355"/>
      </w:tabs>
    </w:pPr>
  </w:style>
  <w:style w:type="paragraph" w:styleId="1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12">
    <w:name w:val="Table Grid"/>
    <w:basedOn w:val="4"/>
    <w:uiPriority w:val="39"/>
    <w:pPr>
      <w:spacing w:after="0" w:line="240" w:lineRule="auto"/>
    </w:pPr>
    <w:rPr>
      <w:rFonts w:ascii="Times New Roman" w:hAnsi="Times New Roman" w:eastAsia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No Spacing"/>
    <w:link w:val="14"/>
    <w:qFormat/>
    <w:uiPriority w:val="1"/>
    <w:pPr>
      <w:spacing w:after="0" w:line="240" w:lineRule="auto"/>
    </w:pPr>
    <w:rPr>
      <w:rFonts w:ascii="Cambria" w:hAnsi="Cambria" w:cs="Times New Roman" w:eastAsiaTheme="minorHAnsi"/>
      <w:sz w:val="24"/>
      <w:szCs w:val="24"/>
      <w:lang w:val="ru-RU" w:eastAsia="en-US" w:bidi="ar-SA"/>
    </w:rPr>
  </w:style>
  <w:style w:type="character" w:customStyle="1" w:styleId="14">
    <w:name w:val="Без интервала Знак"/>
    <w:basedOn w:val="3"/>
    <w:link w:val="13"/>
    <w:qFormat/>
    <w:uiPriority w:val="1"/>
  </w:style>
  <w:style w:type="character" w:customStyle="1" w:styleId="15">
    <w:name w:val="Верхний колонтитул Знак"/>
    <w:basedOn w:val="3"/>
    <w:link w:val="9"/>
    <w:qFormat/>
    <w:uiPriority w:val="99"/>
    <w:rPr>
      <w:rFonts w:ascii="Times New Roman" w:hAnsi="Times New Roman" w:eastAsia="Times New Roman" w:cs="Times New Roman"/>
      <w:color w:val="00000A"/>
      <w:sz w:val="24"/>
      <w:szCs w:val="24"/>
      <w:lang w:eastAsia="zh-CN"/>
    </w:rPr>
  </w:style>
  <w:style w:type="character" w:customStyle="1" w:styleId="16">
    <w:name w:val="Нижний колонтитул Знак"/>
    <w:basedOn w:val="3"/>
    <w:link w:val="10"/>
    <w:uiPriority w:val="99"/>
    <w:rPr>
      <w:rFonts w:ascii="Times New Roman" w:hAnsi="Times New Roman" w:eastAsia="Times New Roman" w:cs="Times New Roman"/>
      <w:color w:val="00000A"/>
      <w:sz w:val="24"/>
      <w:szCs w:val="24"/>
      <w:lang w:eastAsia="zh-CN"/>
    </w:rPr>
  </w:style>
  <w:style w:type="character" w:customStyle="1" w:styleId="17">
    <w:name w:val="Заголовок 2 Знак"/>
    <w:basedOn w:val="3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  <w:lang w:eastAsia="zh-CN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paragraph" w:customStyle="1" w:styleId="19">
    <w:name w:val="Отчет ППС"/>
    <w:basedOn w:val="2"/>
    <w:link w:val="20"/>
    <w:qFormat/>
    <w:uiPriority w:val="0"/>
    <w:pPr>
      <w:numPr>
        <w:ilvl w:val="0"/>
        <w:numId w:val="1"/>
      </w:numPr>
    </w:pPr>
    <w:rPr>
      <w:rFonts w:ascii="Cambria" w:hAnsi="Cambria"/>
      <w:b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20">
    <w:name w:val="Отчет ППС Знак"/>
    <w:basedOn w:val="17"/>
    <w:link w:val="19"/>
    <w:qFormat/>
    <w:uiPriority w:val="0"/>
    <w:rPr>
      <w:rFonts w:ascii="Cambria" w:hAnsi="Cambria" w:eastAsiaTheme="majorEastAsia" w:cstheme="majorBidi"/>
      <w:b/>
      <w:color w:val="000000" w:themeColor="text1"/>
      <w:sz w:val="24"/>
      <w:szCs w:val="24"/>
      <w:lang w:eastAsia="zh-CN"/>
      <w14:textFill>
        <w14:solidFill>
          <w14:schemeClr w14:val="tx1"/>
        </w14:solidFill>
      </w14:textFill>
    </w:rPr>
  </w:style>
  <w:style w:type="character" w:customStyle="1" w:styleId="21">
    <w:name w:val="Unresolved Mention"/>
    <w:basedOn w:val="3"/>
    <w:semiHidden/>
    <w:unhideWhenUsed/>
    <w:uiPriority w:val="99"/>
    <w:rPr>
      <w:color w:val="605E5C"/>
      <w:shd w:val="clear" w:color="auto" w:fill="E1DFDD"/>
    </w:rPr>
  </w:style>
  <w:style w:type="character" w:customStyle="1" w:styleId="22">
    <w:name w:val="Текст сноски Знак"/>
    <w:basedOn w:val="3"/>
    <w:link w:val="8"/>
    <w:semiHidden/>
    <w:uiPriority w:val="99"/>
    <w:rPr>
      <w:rFonts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DB028-259B-40B6-B934-FEBFC02C38F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745</Words>
  <Characters>4252</Characters>
  <Lines>35</Lines>
  <Paragraphs>9</Paragraphs>
  <TotalTime>38</TotalTime>
  <ScaleCrop>false</ScaleCrop>
  <LinksUpToDate>false</LinksUpToDate>
  <CharactersWithSpaces>4988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2019-09-12T21:24:00Z</dcterms:created>
  <dc:creator>Evgeny Redgrave</dc:creator>
  <cp:lastModifiedBy>Lieson Mwale</cp:lastModifiedBy>
  <dcterms:modified xsi:type="dcterms:W3CDTF">2025-11-04T15:26:49Z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445A6A827A99423FADEFB2B47716AB1A_13</vt:lpwstr>
  </property>
</Properties>
</file>