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84"/>
        <w:gridCol w:w="2820"/>
        <w:gridCol w:w="277"/>
        <w:gridCol w:w="3013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instrText xml:space="preserve"> HYPERLINK "https://pro.guap.ru/inside/profile/21251"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Колесникова С.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И</w:t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instrText xml:space="preserve"> HYPERLINK "https://guap.ru/rasp/?p=317" </w:instrTex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старший преподаватель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3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7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820" w:type="dxa"/>
            <w:noWrap w:val="0"/>
          </w:tcPr>
          <w:p w14:paraId="69CC798C">
            <w:pPr>
              <w:pStyle w:val="13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3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5F44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</w:trPr>
        <w:tc>
          <w:tcPr>
            <w:tcW w:w="8820" w:type="dxa"/>
            <w:noWrap w:val="0"/>
          </w:tcPr>
          <w:p w14:paraId="5C4569F8">
            <w:pPr>
              <w:pStyle w:val="2"/>
              <w:spacing w:before="720" w:after="72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Моделирование дифференциальных и разностных уравнений в MatLab Simulink</w:t>
            </w:r>
          </w:p>
        </w:tc>
        <w:tc>
          <w:tcPr>
            <w:tcW w:w="8820" w:type="dxa"/>
            <w:noWrap w:val="0"/>
          </w:tcPr>
          <w:p w14:paraId="6DFD5D86">
            <w:pPr>
              <w:pStyle w:val="2"/>
              <w:spacing w:before="720" w:after="720" w:line="276" w:lineRule="auto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</w:tr>
      <w:tr w14:paraId="4C6A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820" w:type="dxa"/>
            <w:noWrap w:val="0"/>
          </w:tcPr>
          <w:p w14:paraId="480768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instrText xml:space="preserve"> HYPERLINK "https://pro.guap.ru/inside/students/subjects/3391375" </w:instrTex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Компьютерное моделирование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end"/>
            </w:r>
          </w:p>
          <w:p w14:paraId="55A7144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7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61B0E4D3">
      <w:pPr>
        <w:pStyle w:val="17"/>
        <w:jc w:val="center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5</w:t>
      </w:r>
    </w:p>
    <w:p w14:paraId="1CC4F2A4">
      <w:pPr>
        <w:pStyle w:val="17"/>
        <w:jc w:val="center"/>
        <w:rPr>
          <w:rFonts w:hint="default" w:cs="Times New Roman"/>
          <w:bCs/>
          <w:sz w:val="28"/>
          <w:szCs w:val="28"/>
          <w:lang w:val="en-US"/>
        </w:rPr>
      </w:pPr>
    </w:p>
    <w:p w14:paraId="45394979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Цель работы </w:t>
      </w:r>
    </w:p>
    <w:p w14:paraId="60599799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Цель настоящей работы: освоить приемы моделирования непрерывных процессов в MatLab Simulink. Ход работы </w:t>
      </w:r>
    </w:p>
    <w:p w14:paraId="67596AE8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Ход работы . </w:t>
      </w:r>
    </w:p>
    <w:p w14:paraId="14CC763C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Самостоятельно ознакомиться со справочными сведениями относительно приложения MatLab Simulink. </w:t>
      </w:r>
    </w:p>
    <w:p w14:paraId="021E5A29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Построить графики непрерывной (не)линейной модели решения дифференциального уравнения. </w:t>
      </w:r>
    </w:p>
    <w:p w14:paraId="3D5182EE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Разработать модель Simulink для решения дифференциального уравнения. </w:t>
      </w:r>
    </w:p>
    <w:p w14:paraId="31E4EC7A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Построить графики дискретной (не)линейной модели решения разностного уравнения. </w:t>
      </w:r>
    </w:p>
    <w:p w14:paraId="568A7B7F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Разработать модель Simulink для решения разностного уравнения (системы уравнений). </w:t>
      </w:r>
    </w:p>
    <w:p w14:paraId="64AE422A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Получить сравнительные графики поведения моделей при разных параметрах дифференциального уравнения, параметра дискретизации и настроек Simulink. </w:t>
      </w:r>
    </w:p>
    <w:p w14:paraId="40E284A7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Составить и представить преподавателю отчет о работе.</w:t>
      </w:r>
    </w:p>
    <w:p w14:paraId="3118F2B8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0483E3C6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</w:pPr>
      <w:r>
        <w:drawing>
          <wp:inline distT="0" distB="0" distL="114300" distR="114300">
            <wp:extent cx="5273040" cy="165862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rcRect t="8010" b="133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8D27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</w:pPr>
    </w:p>
    <w:p w14:paraId="5C083105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РЕШЕНИЕ</w:t>
      </w:r>
    </w:p>
    <w:p w14:paraId="15EC4EFC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Первый уравнение</w:t>
      </w:r>
      <w:r>
        <w:rPr>
          <w:rFonts w:hint="default"/>
          <w:b/>
          <w:bCs/>
          <w:sz w:val="28"/>
          <w:szCs w:val="28"/>
          <w:lang w:val="en-US"/>
        </w:rPr>
        <w:t xml:space="preserve"> (Непрерывное ОДУ)</w:t>
      </w:r>
    </w:p>
    <w:p w14:paraId="7264EEC4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ВАЖНОЕ ПРИМЕЧАНИЕ ОБ ОБЛАСТИ ОПРЕДЕЛЕНИЯ</w:t>
      </w:r>
    </w:p>
    <w:p w14:paraId="4571D475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ОДУ содержит ln(x) → моделирование не может начинаться с 0. Наше начальное условие задано при x = e, поэтому нам должны начать моделирование с t = 0, но применить:</w:t>
      </w:r>
    </w:p>
    <w:p w14:paraId="56364A9D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вспомогательную переменную x(t) = e + t</w:t>
      </w:r>
    </w:p>
    <w:p w14:paraId="192857FF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так, чтобы при t = 0, x = e.</w:t>
      </w:r>
    </w:p>
    <w:p w14:paraId="70D8EEF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Это стандартный прием для преобразования уравнений, зависящих от x.</w:t>
      </w:r>
    </w:p>
    <w:p w14:paraId="6E7153FE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Эквивалентная модель для моделирования</w:t>
      </w:r>
    </w:p>
    <w:p w14:paraId="24BE60B2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Пусть</w:t>
      </w:r>
    </w:p>
    <w:p w14:paraId="5543B583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x(t) = e + t</w:t>
      </w:r>
      <w:r>
        <w:rPr>
          <w:rFonts w:hint="default"/>
          <w:b w:val="0"/>
          <w:bCs w:val="0"/>
          <w:sz w:val="28"/>
          <w:szCs w:val="28"/>
          <w:lang w:val="ru-RU"/>
        </w:rPr>
        <w:t>,</w:t>
      </w:r>
    </w:p>
    <w:p w14:paraId="4473144B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Тогда</w:t>
      </w:r>
    </w:p>
    <w:p w14:paraId="724BFAEF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y′ = 2√y* ln(e + t)</w:t>
      </w:r>
      <w:r>
        <w:rPr>
          <w:rFonts w:hint="default"/>
          <w:b w:val="0"/>
          <w:bCs w:val="0"/>
          <w:sz w:val="28"/>
          <w:szCs w:val="28"/>
          <w:lang w:val="ru-RU"/>
        </w:rPr>
        <w:t>.</w:t>
      </w:r>
    </w:p>
    <w:p w14:paraId="2AB2ED4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56711C7A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Схема уравнение</w:t>
      </w:r>
    </w:p>
    <w:p w14:paraId="00EBEF8D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013960" cy="3223260"/>
            <wp:effectExtent l="0" t="0" r="0" b="762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414C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3124835" cy="3750310"/>
            <wp:effectExtent l="0" t="0" r="14605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EC0A">
      <w:pPr>
        <w:numPr>
          <w:ilvl w:val="0"/>
          <w:numId w:val="0"/>
        </w:numPr>
        <w:spacing w:line="360" w:lineRule="auto"/>
        <w:rPr>
          <w:rFonts w:hint="default"/>
          <w:lang w:val="ru-RU" w:eastAsia="zh-CN"/>
        </w:rPr>
      </w:pPr>
    </w:p>
    <w:p w14:paraId="320548B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Результате в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Scope</w:t>
      </w:r>
    </w:p>
    <w:p w14:paraId="2F37E38C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799330" cy="4133215"/>
            <wp:effectExtent l="0" t="0" r="1270" b="1206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1F0C">
      <w:pPr>
        <w:numPr>
          <w:ilvl w:val="0"/>
          <w:numId w:val="0"/>
        </w:numPr>
        <w:spacing w:line="360" w:lineRule="auto"/>
      </w:pPr>
    </w:p>
    <w:p w14:paraId="073515B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Y'Y Graph</w:t>
      </w:r>
    </w:p>
    <w:p w14:paraId="4B8CA3CA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2560320" cy="2118360"/>
            <wp:effectExtent l="0" t="0" r="0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E94E">
      <w:pPr>
        <w:numPr>
          <w:ilvl w:val="0"/>
          <w:numId w:val="0"/>
        </w:numPr>
        <w:spacing w:line="360" w:lineRule="auto"/>
      </w:pPr>
    </w:p>
    <w:p w14:paraId="1B0B1005">
      <w:pPr>
        <w:numPr>
          <w:ilvl w:val="0"/>
          <w:numId w:val="0"/>
        </w:numPr>
        <w:spacing w:line="360" w:lineRule="auto"/>
        <w:rPr>
          <w:rFonts w:hint="default"/>
          <w:lang w:val="ru-RU" w:eastAsia="zh-CN"/>
        </w:rPr>
      </w:pPr>
    </w:p>
    <w:p w14:paraId="2822CE7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ЧАСТЬ 2 — Модель Simulink для системы ОДУ</w:t>
      </w:r>
    </w:p>
    <w:p w14:paraId="29029AB5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Helvetica" w:cs="Times New Roman"/>
          <w:b/>
          <w:bCs/>
          <w:sz w:val="28"/>
          <w:szCs w:val="28"/>
        </w:rPr>
        <w:t>x' = x+y</w:t>
      </w:r>
    </w:p>
    <w:p w14:paraId="092F762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Helvetica" w:cs="Times New Roman"/>
          <w:b/>
          <w:bCs/>
          <w:sz w:val="28"/>
          <w:szCs w:val="28"/>
        </w:rPr>
        <w:t>y' = -5x-3y</w:t>
      </w:r>
    </w:p>
    <w:p w14:paraId="1F0082E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2D9E5B3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2405" cy="3820795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rcRect t="19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41F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127375" cy="3351530"/>
            <wp:effectExtent l="0" t="0" r="12065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0D9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8AF1CF3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3810000" cy="313944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8EE1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9865" cy="4720590"/>
            <wp:effectExtent l="0" t="0" r="3175" b="381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2137">
      <w:pPr>
        <w:numPr>
          <w:ilvl w:val="0"/>
          <w:numId w:val="0"/>
        </w:numPr>
        <w:spacing w:line="360" w:lineRule="auto"/>
      </w:pPr>
    </w:p>
    <w:p w14:paraId="16748E4C">
      <w:pPr>
        <w:numPr>
          <w:ilvl w:val="0"/>
          <w:numId w:val="0"/>
        </w:numPr>
        <w:spacing w:line="360" w:lineRule="auto"/>
      </w:pPr>
    </w:p>
    <w:p w14:paraId="1B54AFC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5DEB33E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ЧАСТЬ 3 — Дискретизация (Схема Эйлера)</w:t>
      </w:r>
    </w:p>
    <w:p w14:paraId="5A67743F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952490" cy="2884170"/>
            <wp:effectExtent l="0" t="0" r="6350" b="1143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C9D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х</w:t>
      </w:r>
    </w:p>
    <w:p w14:paraId="516249ED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3009900" cy="1844040"/>
            <wp:effectExtent l="0" t="0" r="762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AFCE">
      <w:pPr>
        <w:numPr>
          <w:ilvl w:val="0"/>
          <w:numId w:val="0"/>
        </w:numPr>
        <w:spacing w:line="360" w:lineRule="auto"/>
      </w:pPr>
    </w:p>
    <w:p w14:paraId="2E574A5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у</w:t>
      </w:r>
    </w:p>
    <w:p w14:paraId="5E27000D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3020695" cy="1864995"/>
            <wp:effectExtent l="0" t="0" r="12065" b="952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CE7D">
      <w:pPr>
        <w:numPr>
          <w:ilvl w:val="0"/>
          <w:numId w:val="0"/>
        </w:numPr>
        <w:spacing w:line="360" w:lineRule="auto"/>
      </w:pPr>
    </w:p>
    <w:p w14:paraId="5E2615A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delta = 0.1</w:t>
      </w:r>
    </w:p>
    <w:p w14:paraId="141F3F7B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2611755" cy="2368550"/>
            <wp:effectExtent l="0" t="0" r="9525" b="889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4290" cy="2316480"/>
            <wp:effectExtent l="0" t="0" r="127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10E5">
      <w:pPr>
        <w:numPr>
          <w:ilvl w:val="0"/>
          <w:numId w:val="0"/>
        </w:numPr>
        <w:spacing w:line="360" w:lineRule="auto"/>
      </w:pPr>
    </w:p>
    <w:p w14:paraId="3A346515">
      <w:pPr>
        <w:numPr>
          <w:ilvl w:val="0"/>
          <w:numId w:val="0"/>
        </w:numPr>
        <w:spacing w:line="360" w:lineRule="auto"/>
      </w:pPr>
    </w:p>
    <w:p w14:paraId="660573A1">
      <w:pPr>
        <w:numPr>
          <w:ilvl w:val="0"/>
          <w:numId w:val="0"/>
        </w:numPr>
        <w:spacing w:line="360" w:lineRule="auto"/>
      </w:pPr>
    </w:p>
    <w:p w14:paraId="1245DB2A">
      <w:pPr>
        <w:numPr>
          <w:ilvl w:val="0"/>
          <w:numId w:val="0"/>
        </w:numPr>
        <w:spacing w:line="360" w:lineRule="auto"/>
      </w:pPr>
    </w:p>
    <w:p w14:paraId="3472AB7D">
      <w:pPr>
        <w:numPr>
          <w:ilvl w:val="0"/>
          <w:numId w:val="0"/>
        </w:numPr>
        <w:spacing w:line="360" w:lineRule="auto"/>
      </w:pPr>
    </w:p>
    <w:p w14:paraId="5AF2F3C0">
      <w:pPr>
        <w:numPr>
          <w:ilvl w:val="0"/>
          <w:numId w:val="0"/>
        </w:numPr>
        <w:spacing w:line="360" w:lineRule="auto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Сравнение графиков непрерывных и дискретных моделей с различными значениями Δ</w:t>
      </w:r>
    </w:p>
    <w:p w14:paraId="10EB9173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2621280" cy="2355850"/>
            <wp:effectExtent l="0" t="0" r="0" b="6350"/>
            <wp:docPr id="2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7945" cy="2365375"/>
            <wp:effectExtent l="0" t="0" r="13335" b="1206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2071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609850" cy="2331720"/>
            <wp:effectExtent l="0" t="0" r="11430" b="0"/>
            <wp:docPr id="2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0010" cy="2348230"/>
            <wp:effectExtent l="0" t="0" r="1270" b="13970"/>
            <wp:docPr id="2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7C79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3206A8A0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593340" cy="2140585"/>
            <wp:effectExtent l="0" t="0" r="12700" b="8255"/>
            <wp:docPr id="2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6040" cy="2148205"/>
            <wp:effectExtent l="0" t="0" r="0" b="63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69C8">
      <w:pPr>
        <w:numPr>
          <w:ilvl w:val="0"/>
          <w:numId w:val="0"/>
        </w:numPr>
        <w:spacing w:line="360" w:lineRule="auto"/>
        <w:rPr>
          <w:rFonts w:hint="default"/>
          <w:lang w:val="ru-RU" w:eastAsia="zh-CN"/>
        </w:rPr>
      </w:pPr>
    </w:p>
    <w:p w14:paraId="17153454">
      <w:pPr>
        <w:numPr>
          <w:ilvl w:val="0"/>
          <w:numId w:val="0"/>
        </w:numPr>
        <w:spacing w:line="360" w:lineRule="auto"/>
        <w:rPr>
          <w:rFonts w:hint="default"/>
          <w:lang w:val="ru-RU" w:eastAsia="zh-CN"/>
        </w:rPr>
      </w:pPr>
    </w:p>
    <w:p w14:paraId="41FDD79F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0851FE3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Выводы</w:t>
      </w:r>
    </w:p>
    <w:p w14:paraId="1A2F9C21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ходе лабораторной работы было проведено сравнительное исследование поведения непрерывных и дискретных моделей динамических систем при различных параметрах дискретизации. Анализ результатов позволяет сформулировать следующие выводы:</w:t>
      </w:r>
    </w:p>
    <w:p w14:paraId="052692E1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1. Зависимость точности от шага дискретизации имеет фундаментальный характер. При малых значениях Δ (порядка 0.01) дискретная модель практически неотличима от непрерывной, обеспечивая высокую точность аппроксимации за счет увеличения вычислительной нагрузки.</w:t>
      </w:r>
    </w:p>
    <w:p w14:paraId="5E62D479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 Компромиссный режим при умеренных значениях Δ (порядка 0.1) демонстрирует баланс между точностью и эффективностью вычислений. Хотя появляются заметные "ступеньки" на графиках, общая динамика системы сохраняется.</w:t>
      </w:r>
    </w:p>
    <w:p w14:paraId="359367E0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3. Критический порог устойчивости наблюдается при больших значениях Δ (порядка 0.5 и выше), когда дискретная модель теряет адекватность - возникают значительные искажения, расхождения с непрерывным решением и возможна полная потеря устойчивости.</w:t>
      </w:r>
    </w:p>
    <w:p w14:paraId="2EC0FCFF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4. Практическая значимость полученных результатов заключается в необходимости тщательного выбора шага дискретизации при численном моделировании, учитывая требования к точности и доступные вычислительные ресурсы.</w:t>
      </w:r>
    </w:p>
    <w:p w14:paraId="3FBA65D5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Таким образом, экспериментально подтверждено, что метод Эйлера обеспечивает удовлетворительную точность только при достаточно малых значениях параметра дискретизаци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и, а выбор оптимального Δ представляет собой компромисс между точностью моделирования и вычислительной эффективностью.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826746"/>
    <w:multiLevelType w:val="singleLevel"/>
    <w:tmpl w:val="E982674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314F4CE"/>
    <w:multiLevelType w:val="singleLevel"/>
    <w:tmpl w:val="3314F4C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61B29B3"/>
    <w:rsid w:val="09685DFB"/>
    <w:rsid w:val="0C7904D7"/>
    <w:rsid w:val="0C822B95"/>
    <w:rsid w:val="0DC87629"/>
    <w:rsid w:val="0F2A17EF"/>
    <w:rsid w:val="147C16AC"/>
    <w:rsid w:val="14DC29CA"/>
    <w:rsid w:val="17A553DC"/>
    <w:rsid w:val="18854A4A"/>
    <w:rsid w:val="18AD758B"/>
    <w:rsid w:val="1D726326"/>
    <w:rsid w:val="2ADA2ADB"/>
    <w:rsid w:val="2CAB0320"/>
    <w:rsid w:val="2D223CD1"/>
    <w:rsid w:val="2FD06EDA"/>
    <w:rsid w:val="3099771B"/>
    <w:rsid w:val="31253DF6"/>
    <w:rsid w:val="37F5325E"/>
    <w:rsid w:val="38D7222D"/>
    <w:rsid w:val="393328E5"/>
    <w:rsid w:val="3BBD7C6F"/>
    <w:rsid w:val="40071619"/>
    <w:rsid w:val="408112E3"/>
    <w:rsid w:val="422A04E8"/>
    <w:rsid w:val="423D2575"/>
    <w:rsid w:val="43AE5741"/>
    <w:rsid w:val="46136706"/>
    <w:rsid w:val="4662353B"/>
    <w:rsid w:val="4B2D037A"/>
    <w:rsid w:val="55A2658D"/>
    <w:rsid w:val="64A93F32"/>
    <w:rsid w:val="656751D4"/>
    <w:rsid w:val="6A5D0610"/>
    <w:rsid w:val="6E6E6EE7"/>
    <w:rsid w:val="6FAF2BDE"/>
    <w:rsid w:val="6FE82825"/>
    <w:rsid w:val="726215F6"/>
    <w:rsid w:val="73D20B92"/>
    <w:rsid w:val="77AB50CE"/>
    <w:rsid w:val="795C442C"/>
    <w:rsid w:val="7AC60BF8"/>
    <w:rsid w:val="7B003632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676</Words>
  <Characters>3862</Characters>
  <Lines>0</Lines>
  <Paragraphs>0</Paragraphs>
  <TotalTime>9</TotalTime>
  <ScaleCrop>false</ScaleCrop>
  <LinksUpToDate>false</LinksUpToDate>
  <CharactersWithSpaces>4846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2025-11-21T16:25:30Z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188C56A581C24244BF0FE610CE1C36B9_13</vt:lpwstr>
  </property>
</Properties>
</file>