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33DD67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bookmarkStart w:id="0" w:name="_Hlk95946734"/>
      <w:bookmarkEnd w:id="0"/>
      <w:r>
        <w:rPr>
          <w:rFonts w:hint="default" w:ascii="Cambria" w:hAnsi="Cambria" w:cs="Cambria"/>
          <w:b w:val="0"/>
          <w:bCs w:val="0"/>
        </w:rPr>
        <w:t>МИНИСТЕРСТВО НАУКИ И ВЫСШЕГО ОБРАЗОВАНИЯ РОССИЙСКОЙ</w:t>
      </w:r>
      <w:r>
        <w:rPr>
          <w:rFonts w:hint="default" w:ascii="Cambria" w:hAnsi="Cambria" w:cs="Cambria"/>
          <w:b w:val="0"/>
          <w:bCs w:val="0"/>
          <w:lang w:val="en-US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ФЕДЕРАЦИИ</w:t>
      </w:r>
    </w:p>
    <w:p w14:paraId="3486148E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  <w:sz w:val="20"/>
          <w:szCs w:val="20"/>
        </w:rPr>
      </w:pPr>
      <w:r>
        <w:rPr>
          <w:rFonts w:hint="default" w:ascii="Cambria" w:hAnsi="Cambria" w:cs="Cambria"/>
          <w:b w:val="0"/>
          <w:bCs w:val="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077EC78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«САНКТ</w:t>
      </w:r>
      <w:r>
        <w:rPr>
          <w:rFonts w:hint="default" w:cs="Cambria"/>
          <w:b w:val="0"/>
          <w:bCs w:val="0"/>
          <w:lang w:val="ru-RU"/>
        </w:rPr>
        <w:t>.</w:t>
      </w:r>
      <w:r>
        <w:rPr>
          <w:rFonts w:hint="default" w:ascii="Cambria" w:hAnsi="Cambria" w:cs="Cambria"/>
          <w:b w:val="0"/>
          <w:bCs w:val="0"/>
        </w:rPr>
        <w:t>ПЕТЕРБУРГСКИЙ ГОСУДАРСТВЕННЫЙ УНИВЕРСИТЕТ</w:t>
      </w:r>
    </w:p>
    <w:p w14:paraId="751C7C41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АЭРОКОСМИЧЕСКОГО ПРИБОРОСТРОЕНИЯ»</w:t>
      </w:r>
    </w:p>
    <w:p w14:paraId="6CBDBCD9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630988C8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КАФЕДРА КОМПЬЮТЕРНЫХ ТЕХНОЛОГИЙ</w:t>
      </w:r>
    </w:p>
    <w:p w14:paraId="6255F4DA">
      <w:pPr>
        <w:pStyle w:val="153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И ПРОГРАММНОЙ ИНЖЕНЕРИИ (КАФЕДРА 43)</w:t>
      </w:r>
    </w:p>
    <w:p w14:paraId="15035B46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44088FF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579A3174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1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804"/>
        <w:gridCol w:w="4100"/>
      </w:tblGrid>
      <w:tr w14:paraId="4162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</w:tcPr>
          <w:p w14:paraId="3E404FAD">
            <w:pPr>
              <w:pStyle w:val="153"/>
              <w:widowControl w:val="0"/>
              <w:spacing w:line="360" w:lineRule="auto"/>
              <w:ind w:left="-106" w:right="-107" w:firstLine="12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ОТЧЕТ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ЗАЩИЩЕН С ОЦЕНКОЙ</w:t>
            </w:r>
          </w:p>
        </w:tc>
        <w:tc>
          <w:tcPr>
            <w:tcW w:w="804" w:type="dxa"/>
            <w:tcBorders>
              <w:bottom w:val="nil"/>
            </w:tcBorders>
          </w:tcPr>
          <w:p w14:paraId="5CCCEF5F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100" w:type="dxa"/>
          </w:tcPr>
          <w:p w14:paraId="05AD0D1C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</w:tr>
    </w:tbl>
    <w:p w14:paraId="2D8DFCBD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6BB7297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РУКОВОДИТЕЛЬ:</w:t>
      </w:r>
    </w:p>
    <w:tbl>
      <w:tblPr>
        <w:tblStyle w:val="118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CF6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62A67C5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0D61D38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</w:p>
        </w:tc>
        <w:tc>
          <w:tcPr>
            <w:tcW w:w="1701" w:type="dxa"/>
          </w:tcPr>
          <w:p w14:paraId="18EACF2D">
            <w:pPr>
              <w:pStyle w:val="153"/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DD428BB">
            <w:pPr>
              <w:pStyle w:val="153"/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418" w:type="dxa"/>
          </w:tcPr>
          <w:p w14:paraId="3155CE19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4A75C1A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19335DD3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</w:rPr>
              <w:t>.А.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Рындюк</w:t>
            </w:r>
          </w:p>
        </w:tc>
      </w:tr>
      <w:tr w14:paraId="5955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E5BB81F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8E5EC6A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701" w:type="dxa"/>
          </w:tcPr>
          <w:p w14:paraId="034570DB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C50137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418" w:type="dxa"/>
          </w:tcPr>
          <w:p w14:paraId="7BBE63B3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E2BC4EB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3A49D3E7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65772D3F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032038F8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E854A46">
      <w:pPr>
        <w:pStyle w:val="153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ОТЧЕТ О ЛАБОРАТОРНОЙ РАБОТЕ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</w:p>
    <w:p w14:paraId="3BE53BF1">
      <w:pPr>
        <w:pStyle w:val="153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CD7459D">
      <w:pPr>
        <w:pStyle w:val="153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"https://pro.guap.ru/inside/student/tasks/180116"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Законодательство в области ИБ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671F504">
      <w:pPr>
        <w:pStyle w:val="15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 </w:t>
      </w:r>
      <w:r>
        <w:rPr>
          <w:sz w:val="24"/>
          <w:szCs w:val="24"/>
          <w:lang w:eastAsia="ru-RU"/>
        </w:rPr>
        <w:t xml:space="preserve"> </w:t>
      </w:r>
      <w:r>
        <w:rPr>
          <w:rFonts w:hint="default"/>
          <w:sz w:val="24"/>
          <w:szCs w:val="24"/>
          <w:lang w:eastAsia="ru-RU"/>
        </w:rPr>
        <w:t>курсу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"https://pro.guap.ru/inside/students/subjects/3391368"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Защита информации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0712C81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CE5B7EC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РАБОТУ ВЫПОЛНИЛ</w:t>
      </w:r>
    </w:p>
    <w:p w14:paraId="70F68BAB">
      <w:pPr>
        <w:pStyle w:val="153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118"/>
        <w:tblW w:w="9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500"/>
        <w:gridCol w:w="432"/>
        <w:gridCol w:w="1920"/>
        <w:gridCol w:w="444"/>
        <w:gridCol w:w="2556"/>
      </w:tblGrid>
      <w:tr w14:paraId="702D1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2267" w:type="dxa"/>
            <w:tcBorders>
              <w:top w:val="nil"/>
              <w:bottom w:val="nil"/>
            </w:tcBorders>
          </w:tcPr>
          <w:p w14:paraId="1E1EB925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СТУДЕНТ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Гр.№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:</w:t>
            </w:r>
          </w:p>
        </w:tc>
        <w:tc>
          <w:tcPr>
            <w:tcW w:w="1500" w:type="dxa"/>
          </w:tcPr>
          <w:p w14:paraId="5EC1DA43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4236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4FACFF50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nil"/>
              <w:bottom w:val="single" w:color="auto" w:sz="4" w:space="0"/>
            </w:tcBorders>
          </w:tcPr>
          <w:p w14:paraId="7077F105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44" w:type="dxa"/>
            <w:tcBorders>
              <w:bottom w:val="nil"/>
            </w:tcBorders>
          </w:tcPr>
          <w:p w14:paraId="64E324C8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</w:p>
        </w:tc>
        <w:tc>
          <w:tcPr>
            <w:tcW w:w="2556" w:type="dxa"/>
          </w:tcPr>
          <w:p w14:paraId="01CA1429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Л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.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Мвале</w:t>
            </w:r>
          </w:p>
        </w:tc>
      </w:tr>
      <w:tr w14:paraId="57372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Borders>
              <w:top w:val="nil"/>
              <w:bottom w:val="nil"/>
            </w:tcBorders>
          </w:tcPr>
          <w:p w14:paraId="2AD090AE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500" w:type="dxa"/>
          </w:tcPr>
          <w:p w14:paraId="6B69F1BA">
            <w:pPr>
              <w:pStyle w:val="153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6CE2EABC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single" w:color="auto" w:sz="4" w:space="0"/>
              <w:bottom w:val="nil"/>
            </w:tcBorders>
          </w:tcPr>
          <w:p w14:paraId="4D7C9A8E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подпись, дата</w:t>
            </w:r>
          </w:p>
        </w:tc>
        <w:tc>
          <w:tcPr>
            <w:tcW w:w="444" w:type="dxa"/>
            <w:tcBorders>
              <w:top w:val="nil"/>
            </w:tcBorders>
          </w:tcPr>
          <w:p w14:paraId="6B6FDAB0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2556" w:type="dxa"/>
          </w:tcPr>
          <w:p w14:paraId="3363AE8A">
            <w:pPr>
              <w:pStyle w:val="153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403FCE63">
      <w:pPr>
        <w:pStyle w:val="153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1621790</wp:posOffset>
                </wp:positionV>
                <wp:extent cx="2247900" cy="396240"/>
                <wp:effectExtent l="0" t="0" r="0" b="0"/>
                <wp:wrapNone/>
                <wp:docPr id="6" name="Текстовое 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4980" y="9090025"/>
                          <a:ext cx="22479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4B520">
                            <w:pP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Санкт-Петербург 202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55pt;margin-top:127.7pt;height:31.2pt;width:177pt;z-index:251659264;mso-width-relative:page;mso-height-relative:page;" filled="f" stroked="f" coordsize="21600,21600" o:gfxdata="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OZ&#10;jXPcAAAACwEAAA8AAAAAAAAAAQAgAAAAIgAAAGRycy9kb3ducmV2LnhtbFBLAQIUABQAAAAIAIdO&#10;4kCf+Kd6WAIAAIQEAAAOAAAAAAAAAAEAIAAAACsBAABkcnMvZTJvRG9jLnhtbFBLBQYAAAAABgAG&#10;AFkBAAD1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04B520">
                      <w:pPr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Санкт-Петербург 202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59046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ВВЕДЕНИЕ</w:t>
      </w:r>
    </w:p>
    <w:p w14:paraId="06B7C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Доктрина информационной безопасности Российской Федерации (далее – Доктрина ИБ) является основополагающим документом стратегического планирования. В соответствии с лекционным материалом, именно в ней определяются стратегические цели и способы обеспечения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информационной безопасности (ИБ)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 учетом национальных интересов, а также дается определение силам и средствам ИБ РФ.</w:t>
      </w:r>
    </w:p>
    <w:p w14:paraId="75333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Сравнение редакций 2000 и 2016 годов, проведенное в рамках настоящей лабораторной работы, позволяет проследить эволюцию государственной политики от концептуального осмысления проблем (2000 г.) к комплексной системе стратегического реагирования на вызовы и угрозы в условиях глобального информационного противоборства (2016 г.).</w:t>
      </w:r>
    </w:p>
    <w:p w14:paraId="03EC8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 СРАВНИТЕЛЬНЫЙ АНАЛИЗ НАЗНАЧЕНИЯ И ЦЕЛЕЙ ДОКТРИН</w:t>
      </w:r>
    </w:p>
    <w:p w14:paraId="72149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Доктрина 2000 года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носила преимущественно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концептуальный характер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Ее главной целью было создание фундаментальной основы для формирования государственной политики в информационной сфере. На момент принятия документа российское законодательство в области ИБ только формировалось, и Доктрина фиксировала его противоречивость, ставя задачу по дальнейшему совершенствованию правовых, методологических и организационных механизмов защиты информации (ЗИ).</w:t>
      </w:r>
    </w:p>
    <w:p w14:paraId="39303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Доктрина 2016 года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(Указ Президента № 646) представляет собой документ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стратегического планирования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принципиально иного уровня. Она развивает положения Стратегии национальной безопасности РФ 2015 года. Ее цели сформулированы конкретно:</w:t>
      </w:r>
    </w:p>
    <w:p w14:paraId="3B5057B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Определение стратегических целей и основных направлений обеспечения ИБ.</w:t>
      </w:r>
    </w:p>
    <w:p w14:paraId="2F911A3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Служение основой для формирования государственной политики в области ИБ.</w:t>
      </w:r>
    </w:p>
    <w:p w14:paraId="001B281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Обеспечение комплексного совершенствования системы ИБ на основе глубокого анализа **актуальных угроз** (включая информационно-психологические).</w:t>
      </w:r>
    </w:p>
    <w:p w14:paraId="31D82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Ключевое различие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Доктрина 2000 г. была нацелена на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создание базиса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а Доктрина 2016 г. – на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стратегическое реагирование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на вызовы, ставя во главу угла защиту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информационного суверенитета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РФ.</w:t>
      </w:r>
    </w:p>
    <w:p w14:paraId="6BBF6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 СРАВНИТЕЛЬНЫЙ АНАЛИЗ НАЦИОНАЛЬНЫХ ИНТЕРЕСОВ (ЛИЧНОСТЬ, ОБЩЕСТВО, ГОСУДАРСТВО)</w:t>
      </w:r>
    </w:p>
    <w:p w14:paraId="7845E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Обе Доктрины базируются на триаде «личность – общество – государство», однако расстановка акцентов и глубина проработки существенно различаются.</w:t>
      </w:r>
    </w:p>
    <w:p w14:paraId="028ED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 Доктрине 2000 года:</w:t>
      </w:r>
    </w:p>
    <w:p w14:paraId="24F7BB5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Личность: Реализация конституционных прав на доступ к информации, защита личной безопасности и частной жизни.</w:t>
      </w:r>
    </w:p>
    <w:p w14:paraId="3C69309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Общество: Упрочение демократии, достижение общественного согласия, духовное обновление.</w:t>
      </w:r>
    </w:p>
    <w:p w14:paraId="3F096E8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Государство: Создание условий для развития информационной инфраструктуры, обеспечение конституци</w:t>
      </w:r>
      <w:bookmarkStart w:id="1" w:name="_GoBack"/>
      <w:bookmarkEnd w:id="1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онного строя и территориальной целостности.</w:t>
      </w:r>
    </w:p>
    <w:p w14:paraId="58C6A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 Доктрине 2016 года (Статья 8):</w:t>
      </w:r>
    </w:p>
    <w:p w14:paraId="54470B5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Личность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Гарантия неприкосновенности частной жизни (в условиях тотальной цифровизации), сохранение культурных и духовно-нравственных ценностей.</w:t>
      </w:r>
    </w:p>
    <w:p w14:paraId="6D3E013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Общество и Государство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Вводятся принципиально новые концепции:</w:t>
      </w:r>
    </w:p>
    <w:p w14:paraId="72FC954E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Обеспечение устойчивого функционирования критической информационной инфраструктуры (КИИ).</w:t>
      </w:r>
    </w:p>
    <w:p w14:paraId="06AC79C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Развитие отечественной IT-индустрии как основы импортозамещения.</w:t>
      </w:r>
    </w:p>
    <w:p w14:paraId="0D231FC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Защита суверенитета РФ в информационном пространстве** (как ключевой национальный интерес).</w:t>
      </w:r>
    </w:p>
    <w:p w14:paraId="08C84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Вывод: Доктрина 2016 г. фокусируется не на создании прав, а на их защите от внешних угроз, вводя понятие информационного суверенитета как основы национальной безопасности.</w:t>
      </w:r>
    </w:p>
    <w:p w14:paraId="7DCCD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 СРАВНИТЕЛЬНЫЙ АНАЛИЗ УГРОЗ ИНФОРМАЦИОННОЙ БЕЗОПАСНОСТИ И МЕТОДОВ ИХ ПРЕДОТВРАЩЕНИЯ</w:t>
      </w:r>
    </w:p>
    <w:p w14:paraId="31BCE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Наиболее существенная эволюция подходов прослеживается в классификации угроз (согласно лекциям: отказ, сбой, ошибка, побочное влияние, а также преднамеренные действия) и методах защиты.</w:t>
      </w:r>
    </w:p>
    <w:p w14:paraId="4B8D2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1 – Эволюция угроз и методов противодействия</w:t>
      </w:r>
    </w:p>
    <w:tbl>
      <w:tblPr>
        <w:tblW w:w="927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3401"/>
        <w:gridCol w:w="3807"/>
      </w:tblGrid>
      <w:tr w14:paraId="158E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0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3B23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Параметр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80A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Доктрина 2000 г.</w:t>
            </w:r>
          </w:p>
        </w:tc>
        <w:tc>
          <w:tcPr>
            <w:tcW w:w="38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C01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Доктрина 2016 г.</w:t>
            </w:r>
          </w:p>
        </w:tc>
      </w:tr>
      <w:tr w14:paraId="047ED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20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11E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Основные угрозы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7DB7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Внутренние недостатки: противоречивость законодательства, НСД к информации (кража, копирование), криминальное использование тайны.</w:t>
            </w:r>
          </w:p>
        </w:tc>
        <w:tc>
          <w:tcPr>
            <w:tcW w:w="38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E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Внешние и гибридные угрозы: 1. Информационно-технические (воздействие на КИИ, техразведка). 2. Информационно-психологические (дестабилизация общества, размывание ценностей). 3. Дискриминация российских СМИ.</w:t>
            </w:r>
          </w:p>
        </w:tc>
      </w:tr>
      <w:tr w14:paraId="37B77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20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8315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Методы и средства предотвращения (Согласно разделам 8-9 учебного пособия)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C231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Правовые методы (основной акцент): разработка нормативных актов, установление ответственности (законодательные средства защиты).</w:t>
            </w:r>
          </w:p>
        </w:tc>
        <w:tc>
          <w:tcPr>
            <w:tcW w:w="38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FAAD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Комплексный подход (система ЗИ): 1. Стратегические: Политико-дипломатическое сдерживание. 2. Технические: Обеспечение устойчивости КИИ (аппаратные и программно-аппаратные средства). 3. Организационные: Импортозамещение, создание систем обнаружения атак (СОВ). 4. Информационные: Защита традиционных ценностей, поддержка СМИ.</w:t>
            </w:r>
          </w:p>
        </w:tc>
      </w:tr>
    </w:tbl>
    <w:p w14:paraId="0ECDBC1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0125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Детализация методов предотвращения:</w:t>
      </w:r>
    </w:p>
    <w:p w14:paraId="6A7D5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Если Доктрина 2000 г. опиралась в основном на законодательные средства ЗИ (штрафы, статьи УК РФ), то Доктрина 2016 г. требует внедрения комплексной системы защиты информации (СЗИ), включающей:</w:t>
      </w:r>
    </w:p>
    <w:p w14:paraId="28E2260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Препятствие (создание преград для злоумышленника).</w:t>
      </w:r>
    </w:p>
    <w:p w14:paraId="07C884D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Управление доступом (идентификация/аутентификация пользователей).</w:t>
      </w:r>
    </w:p>
    <w:p w14:paraId="3102ECC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Маскировку (криптографическая и стеганографическая защита).</w:t>
      </w:r>
    </w:p>
    <w:p w14:paraId="1FE3A29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Регламентацию (организационные мероприятия и политика ИБ).</w:t>
      </w:r>
    </w:p>
    <w:p w14:paraId="40159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ED510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page"/>
      </w:r>
    </w:p>
    <w:p w14:paraId="361C6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ЗАКЛЮЧЕНИЕ</w:t>
      </w:r>
    </w:p>
    <w:p w14:paraId="1703B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Проведенный сравнительный анализ Доктрин ИБ РФ 2000 и 2016 годов позволяет сделать следующие выводы:</w:t>
      </w:r>
    </w:p>
    <w:p w14:paraId="52BBB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 Смена парадигмы: Доктрина 2000 г. была «документом становления», нацеленным на создание правового поля и защиту от внутренних технических угроз (НСД, ошибки). Доктрина 2016 г. является «документом отражения агрессии», нацеленным на защиту суверенитета от внешних информационно-технических и психологических воздействий.</w:t>
      </w:r>
    </w:p>
    <w:p w14:paraId="493E3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 Расширение понятия «Интересы»: Доктрина 2016 г. вводит новые категории национальных интересов – информационный суверенитет и критическая информационная инфраструктура (КИИ) – которые отсутствовали в редакции 2000 года.</w:t>
      </w:r>
    </w:p>
    <w:p w14:paraId="3EC37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 Комплексность защиты: Доктрина 2016 г. требует перехода от разрозненных правовых и программных мер к созданию полноценной системы защиты информации (СЗИ), сочетающей организационные, технические (аппаратные/программные) и законодательные средства, что полностью соответствует современному уровню угроз, описанному в учебном пособии (классификация угроз, вирусов, компьютерных преступлений).</w:t>
      </w:r>
    </w:p>
    <w:p w14:paraId="6B816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04DF1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page"/>
      </w:r>
    </w:p>
    <w:p w14:paraId="2930E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СПИСОК ИСПОЛЬЗОВАННЫХ ИСТОЧНИКОВ</w:t>
      </w:r>
    </w:p>
    <w:p w14:paraId="70634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 Российская Федерация. Президент. Доктрина информационной безопасности Российской Федерации (утв. Президентом РФ 09.09.2000) : [редакция от 2000 г.]. – Москва, 2000.</w:t>
      </w:r>
    </w:p>
    <w:p w14:paraId="2B877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 Российская Федерация. Президент. Доктрина информационной безопасности Российской Федерации : утв. Указом Президента РФ от 5 декабря 2016 г. № 646. – Москва, 2016.</w:t>
      </w:r>
    </w:p>
    <w:p w14:paraId="64F9F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 Рындюк, В. А. Методы и средства защиты информации : учебно-методическое пособие / В. А. Рындюк. – Санкт-Петербург : ГУАП, 2021. – 86 с.</w:t>
      </w:r>
    </w:p>
    <w:p w14:paraId="1B159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 Российская Федерация. Законы. Об информации, информационных технологиях и о защите информации : Федеральный закон от 27 июля 2006 г. № 149-ФЗ. – Москва, 2006.</w:t>
      </w:r>
    </w:p>
    <w:p w14:paraId="70814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3B8586EC"/>
    <w:multiLevelType w:val="singleLevel"/>
    <w:tmpl w:val="3B8586EC"/>
    <w:lvl w:ilvl="0" w:tentative="0">
      <w:start w:val="1"/>
      <w:numFmt w:val="bullet"/>
      <w:lvlText w:val="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1">
    <w:nsid w:val="480A930A"/>
    <w:multiLevelType w:val="singleLevel"/>
    <w:tmpl w:val="480A93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2">
    <w:nsid w:val="6E2A3B11"/>
    <w:multiLevelType w:val="singleLevel"/>
    <w:tmpl w:val="6E2A3B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CE0DFA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D07F96"/>
    <w:rsid w:val="19FB111D"/>
    <w:rsid w:val="27CE0DFA"/>
    <w:rsid w:val="2D474361"/>
    <w:rsid w:val="3D2E204C"/>
    <w:rsid w:val="451F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52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  <w:style w:type="character" w:customStyle="1" w:styleId="152">
    <w:name w:val="Заголовок 1 Знак"/>
    <w:basedOn w:val="11"/>
    <w:link w:val="2"/>
    <w:qFormat/>
    <w:uiPriority w:val="9"/>
    <w:rPr>
      <w:rFonts w:ascii="Arial" w:hAnsi="Arial" w:cs="Arial"/>
      <w:b/>
      <w:bCs/>
      <w:kern w:val="32"/>
      <w:sz w:val="32"/>
      <w:szCs w:val="32"/>
    </w:rPr>
  </w:style>
  <w:style w:type="paragraph" w:styleId="153">
    <w:name w:val="No Spacing"/>
    <w:qFormat/>
    <w:uiPriority w:val="1"/>
    <w:pPr>
      <w:spacing w:after="0" w:line="240" w:lineRule="auto"/>
    </w:pPr>
    <w:rPr>
      <w:rFonts w:ascii="Cambria" w:hAnsi="Cambria" w:eastAsiaTheme="minorHAnsi" w:cstheme="minorBidi"/>
      <w:sz w:val="24"/>
      <w:szCs w:val="24"/>
      <w:lang w:val="en" w:eastAsia="en-US" w:bidi="ar-SA"/>
    </w:rPr>
  </w:style>
  <w:style w:type="paragraph" w:customStyle="1" w:styleId="154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5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2026-02-26T09:05:00Z</dcterms:created>
  <dc:creator>Lieson Mwale</dc:creator>
  <cp:lastModifiedBy>Lieson Mwale</cp:lastModifiedBy>
  <dcterms:modified xsi:type="dcterms:W3CDTF">2026-04-07T09:38:08Z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1748B97FA3134DDB90EF953857F072DC_13</vt:lpwstr>
  </property>
</Properties>
</file>