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EA9222B"/>
    <w:p w14:paraId="7B33DD67">
      <w:pPr>
        <w:pStyle w:val="55"/>
        <w:tabs>
          <w:tab w:val="center" w:pos="4677"/>
          <w:tab w:val="right" w:pos="9355"/>
          <w:tab w:val="clear" w:pos="4153"/>
          <w:tab w:val="clear" w:pos="8306"/>
        </w:tabs>
        <w:spacing w:line="360" w:lineRule="auto"/>
        <w:jc w:val="center"/>
        <w:rPr>
          <w:rFonts w:hint="default" w:ascii="Cambria" w:hAnsi="Cambria" w:cs="Cambria"/>
          <w:b w:val="0"/>
          <w:bCs w:val="0"/>
        </w:rPr>
      </w:pPr>
      <w:bookmarkStart w:id="0" w:name="_Hlk95946734"/>
      <w:bookmarkEnd w:id="0"/>
      <w:r>
        <w:rPr>
          <w:rFonts w:hint="default" w:ascii="Cambria" w:hAnsi="Cambria" w:cs="Cambria"/>
          <w:b w:val="0"/>
          <w:bCs w:val="0"/>
        </w:rPr>
        <w:t>МИНИСТЕРСТВО НАУКИ И ВЫСШЕГО ОБРАЗОВАНИЯ РОССИЙСКОЙ</w:t>
      </w:r>
      <w:r>
        <w:rPr>
          <w:rFonts w:hint="default" w:ascii="Cambria" w:hAnsi="Cambria" w:cs="Cambria"/>
          <w:b w:val="0"/>
          <w:bCs w:val="0"/>
          <w:lang w:val="en-US"/>
        </w:rPr>
        <w:t xml:space="preserve"> </w:t>
      </w:r>
      <w:r>
        <w:rPr>
          <w:rFonts w:hint="default" w:ascii="Cambria" w:hAnsi="Cambria" w:cs="Cambria"/>
          <w:b w:val="0"/>
          <w:bCs w:val="0"/>
        </w:rPr>
        <w:t>ФЕДЕРАЦИИ</w:t>
      </w:r>
    </w:p>
    <w:p w14:paraId="3486148E">
      <w:pPr>
        <w:pStyle w:val="55"/>
        <w:tabs>
          <w:tab w:val="center" w:pos="4677"/>
          <w:tab w:val="right" w:pos="9355"/>
          <w:tab w:val="clear" w:pos="4153"/>
          <w:tab w:val="clear" w:pos="8306"/>
        </w:tabs>
        <w:spacing w:line="360" w:lineRule="auto"/>
        <w:jc w:val="center"/>
        <w:rPr>
          <w:rFonts w:hint="default" w:ascii="Cambria" w:hAnsi="Cambria" w:cs="Cambria"/>
          <w:b w:val="0"/>
          <w:bCs w:val="0"/>
          <w:sz w:val="20"/>
          <w:szCs w:val="20"/>
        </w:rPr>
      </w:pPr>
      <w:r>
        <w:rPr>
          <w:rFonts w:hint="default" w:ascii="Cambria" w:hAnsi="Cambria" w:cs="Cambria"/>
          <w:b w:val="0"/>
          <w:bCs w:val="0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6077EC78">
      <w:pPr>
        <w:pStyle w:val="55"/>
        <w:tabs>
          <w:tab w:val="center" w:pos="4677"/>
          <w:tab w:val="right" w:pos="9355"/>
          <w:tab w:val="clear" w:pos="4153"/>
          <w:tab w:val="clear" w:pos="8306"/>
        </w:tabs>
        <w:spacing w:line="360" w:lineRule="auto"/>
        <w:jc w:val="center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«САНКТ</w:t>
      </w:r>
      <w:r>
        <w:rPr>
          <w:rFonts w:hint="default" w:cs="Cambria"/>
          <w:b w:val="0"/>
          <w:bCs w:val="0"/>
          <w:lang w:val="ru-RU"/>
        </w:rPr>
        <w:t>.</w:t>
      </w:r>
      <w:r>
        <w:rPr>
          <w:rFonts w:hint="default" w:ascii="Cambria" w:hAnsi="Cambria" w:cs="Cambria"/>
          <w:b w:val="0"/>
          <w:bCs w:val="0"/>
        </w:rPr>
        <w:t>ПЕТЕРБУРГСКИЙ ГОСУДАРСТВЕННЫЙ УНИВЕРСИТЕТ</w:t>
      </w:r>
    </w:p>
    <w:p w14:paraId="751C7C41">
      <w:pPr>
        <w:pStyle w:val="55"/>
        <w:tabs>
          <w:tab w:val="center" w:pos="4677"/>
          <w:tab w:val="right" w:pos="9355"/>
          <w:tab w:val="clear" w:pos="4153"/>
          <w:tab w:val="clear" w:pos="8306"/>
        </w:tabs>
        <w:spacing w:line="360" w:lineRule="auto"/>
        <w:jc w:val="center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АЭРОКОСМИЧЕСКОГО ПРИБОРОСТРОЕНИЯ»</w:t>
      </w:r>
    </w:p>
    <w:p w14:paraId="6CBDBCD9">
      <w:pPr>
        <w:pStyle w:val="55"/>
        <w:tabs>
          <w:tab w:val="center" w:pos="4677"/>
          <w:tab w:val="right" w:pos="9355"/>
          <w:tab w:val="clear" w:pos="4153"/>
          <w:tab w:val="clear" w:pos="8306"/>
        </w:tabs>
        <w:spacing w:line="360" w:lineRule="auto"/>
        <w:jc w:val="center"/>
        <w:rPr>
          <w:rFonts w:hint="default" w:ascii="Times New Roman" w:hAnsi="Times New Roman" w:cs="Times New Roman"/>
          <w:b w:val="0"/>
          <w:bCs w:val="0"/>
        </w:rPr>
      </w:pPr>
    </w:p>
    <w:p w14:paraId="630988C8">
      <w:pPr>
        <w:pStyle w:val="55"/>
        <w:tabs>
          <w:tab w:val="center" w:pos="4677"/>
          <w:tab w:val="right" w:pos="9355"/>
          <w:tab w:val="clear" w:pos="4153"/>
          <w:tab w:val="clear" w:pos="8306"/>
        </w:tabs>
        <w:spacing w:line="360" w:lineRule="auto"/>
        <w:jc w:val="center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КАФЕДРА КОМПЬЮТЕРНЫХ ТЕХНОЛОГИЙ</w:t>
      </w:r>
    </w:p>
    <w:p w14:paraId="6255F4DA">
      <w:pPr>
        <w:pStyle w:val="152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И ПРОГРАММНОЙ ИНЖЕНЕРИИ (КАФЕДРА 43)</w:t>
      </w:r>
    </w:p>
    <w:p w14:paraId="15035B46">
      <w:pPr>
        <w:pStyle w:val="152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p w14:paraId="444088FF">
      <w:pPr>
        <w:pStyle w:val="152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p w14:paraId="579A3174">
      <w:pPr>
        <w:pStyle w:val="152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tbl>
      <w:tblPr>
        <w:tblStyle w:val="1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  <w:gridCol w:w="804"/>
        <w:gridCol w:w="4100"/>
      </w:tblGrid>
      <w:tr w14:paraId="41628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1" w:type="dxa"/>
          </w:tcPr>
          <w:p w14:paraId="3E404FAD">
            <w:pPr>
              <w:pStyle w:val="152"/>
              <w:widowControl w:val="0"/>
              <w:spacing w:line="360" w:lineRule="auto"/>
              <w:ind w:left="-106" w:right="-107" w:firstLine="120" w:firstLineChars="50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ОТЧЕТ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>ЗАЩИЩЕН С ОЦЕНКОЙ</w:t>
            </w:r>
          </w:p>
        </w:tc>
        <w:tc>
          <w:tcPr>
            <w:tcW w:w="804" w:type="dxa"/>
            <w:tcBorders>
              <w:bottom w:val="nil"/>
            </w:tcBorders>
          </w:tcPr>
          <w:p w14:paraId="5CCCEF5F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4100" w:type="dxa"/>
          </w:tcPr>
          <w:p w14:paraId="05AD0D1C">
            <w:pPr>
              <w:pStyle w:val="152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</w:tr>
    </w:tbl>
    <w:p w14:paraId="2D8DFCBD">
      <w:pPr>
        <w:pStyle w:val="152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p w14:paraId="46BB7297">
      <w:pPr>
        <w:pStyle w:val="152"/>
        <w:spacing w:line="36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РУКОВОДИТЕЛЬ:</w:t>
      </w:r>
    </w:p>
    <w:tbl>
      <w:tblPr>
        <w:tblStyle w:val="118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14:paraId="1CF67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062A67C5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  <w:t>канд. техн. наук , доцент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0D61D38">
            <w:pPr>
              <w:pStyle w:val="152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</w:pPr>
          </w:p>
        </w:tc>
        <w:tc>
          <w:tcPr>
            <w:tcW w:w="1701" w:type="dxa"/>
          </w:tcPr>
          <w:p w14:paraId="18EACF2D">
            <w:pPr>
              <w:pStyle w:val="152"/>
              <w:widowControl w:val="0"/>
              <w:spacing w:line="360" w:lineRule="auto"/>
              <w:jc w:val="right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6DD428BB">
            <w:pPr>
              <w:pStyle w:val="152"/>
              <w:widowControl w:val="0"/>
              <w:spacing w:line="360" w:lineRule="auto"/>
              <w:jc w:val="right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418" w:type="dxa"/>
          </w:tcPr>
          <w:p w14:paraId="3155CE19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24A75C1A">
            <w:pPr>
              <w:pStyle w:val="152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410" w:type="dxa"/>
          </w:tcPr>
          <w:p w14:paraId="19335DD3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В</w:t>
            </w:r>
            <w:r>
              <w:rPr>
                <w:rFonts w:hint="default" w:ascii="Times New Roman" w:hAnsi="Times New Roman" w:cs="Times New Roman"/>
              </w:rPr>
              <w:t>.А.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Рындюк</w:t>
            </w:r>
          </w:p>
        </w:tc>
      </w:tr>
      <w:tr w14:paraId="5955E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6E5BB81F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(должность, учёная степень, звание)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8E5EC6A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701" w:type="dxa"/>
          </w:tcPr>
          <w:p w14:paraId="034570DB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C50137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</w:p>
        </w:tc>
        <w:tc>
          <w:tcPr>
            <w:tcW w:w="1418" w:type="dxa"/>
          </w:tcPr>
          <w:p w14:paraId="7BBE63B3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2E2BC4EB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410" w:type="dxa"/>
          </w:tcPr>
          <w:p w14:paraId="3A49D3E7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(инициалы, фамилия)</w:t>
            </w:r>
          </w:p>
        </w:tc>
      </w:tr>
    </w:tbl>
    <w:p w14:paraId="65772D3F">
      <w:pPr>
        <w:pStyle w:val="152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p w14:paraId="032038F8">
      <w:pPr>
        <w:pStyle w:val="152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p w14:paraId="3BE53BF1">
      <w:pPr>
        <w:pStyle w:val="152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ОТЧЕТ О ЛАБОРАТОРНОЙ РАБОТЕ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</w:t>
      </w:r>
    </w:p>
    <w:p w14:paraId="0CD7459D">
      <w:pPr>
        <w:pStyle w:val="152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"https://pro.guap.ru/inside/student/tasks/180922"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АНАЛИЗ ПРОФЕССИОНАЛЬНОЙ ТАЙНЫ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671F504">
      <w:pPr>
        <w:pStyle w:val="152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по </w:t>
      </w:r>
      <w:r>
        <w:rPr>
          <w:sz w:val="24"/>
          <w:szCs w:val="24"/>
          <w:lang w:eastAsia="ru-RU"/>
        </w:rPr>
        <w:t xml:space="preserve"> </w:t>
      </w:r>
      <w:r>
        <w:rPr>
          <w:rFonts w:hint="default"/>
          <w:sz w:val="24"/>
          <w:szCs w:val="24"/>
          <w:lang w:eastAsia="ru-RU"/>
        </w:rPr>
        <w:t>курсу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"https://pro.guap.ru/inside/students/subjects/3391368"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Защита информации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0712C81">
      <w:pPr>
        <w:pStyle w:val="152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CE5B7EC">
      <w:pPr>
        <w:pStyle w:val="152"/>
        <w:spacing w:line="36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РАБОТУ ВЫПОЛНИЛ</w:t>
      </w:r>
    </w:p>
    <w:p w14:paraId="70F68BAB">
      <w:pPr>
        <w:pStyle w:val="152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tbl>
      <w:tblPr>
        <w:tblStyle w:val="118"/>
        <w:tblW w:w="91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1500"/>
        <w:gridCol w:w="432"/>
        <w:gridCol w:w="1920"/>
        <w:gridCol w:w="444"/>
        <w:gridCol w:w="2556"/>
      </w:tblGrid>
      <w:tr w14:paraId="702D1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Borders>
              <w:top w:val="nil"/>
              <w:bottom w:val="nil"/>
            </w:tcBorders>
          </w:tcPr>
          <w:p w14:paraId="1E1EB925">
            <w:pPr>
              <w:pStyle w:val="152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 СТУДЕНТ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/>
              </w:rPr>
              <w:t>Гр.№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>:</w:t>
            </w:r>
          </w:p>
        </w:tc>
        <w:tc>
          <w:tcPr>
            <w:tcW w:w="1500" w:type="dxa"/>
          </w:tcPr>
          <w:p w14:paraId="5EC1DA43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4236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4FACFF50">
            <w:pPr>
              <w:pStyle w:val="152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920" w:type="dxa"/>
            <w:tcBorders>
              <w:top w:val="nil"/>
              <w:bottom w:val="single" w:color="auto" w:sz="4" w:space="0"/>
            </w:tcBorders>
          </w:tcPr>
          <w:p w14:paraId="7077F105">
            <w:pPr>
              <w:pStyle w:val="152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444" w:type="dxa"/>
            <w:tcBorders>
              <w:bottom w:val="nil"/>
            </w:tcBorders>
          </w:tcPr>
          <w:p w14:paraId="64E324C8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lang w:val="ru-RU"/>
              </w:rPr>
            </w:pPr>
          </w:p>
        </w:tc>
        <w:tc>
          <w:tcPr>
            <w:tcW w:w="2556" w:type="dxa"/>
          </w:tcPr>
          <w:p w14:paraId="01CA1429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ru-RU"/>
              </w:rPr>
              <w:t>Л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.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/>
              </w:rPr>
              <w:t>Мвале</w:t>
            </w:r>
          </w:p>
        </w:tc>
      </w:tr>
      <w:tr w14:paraId="57372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Borders>
              <w:top w:val="nil"/>
              <w:bottom w:val="nil"/>
            </w:tcBorders>
          </w:tcPr>
          <w:p w14:paraId="2AD090AE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</w:p>
        </w:tc>
        <w:tc>
          <w:tcPr>
            <w:tcW w:w="1500" w:type="dxa"/>
          </w:tcPr>
          <w:p w14:paraId="6B69F1BA">
            <w:pPr>
              <w:pStyle w:val="152"/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6CE2EABC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920" w:type="dxa"/>
            <w:tcBorders>
              <w:top w:val="single" w:color="auto" w:sz="4" w:space="0"/>
              <w:bottom w:val="nil"/>
            </w:tcBorders>
          </w:tcPr>
          <w:p w14:paraId="4D7C9A8E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подпись, дата</w:t>
            </w:r>
          </w:p>
        </w:tc>
        <w:tc>
          <w:tcPr>
            <w:tcW w:w="444" w:type="dxa"/>
            <w:tcBorders>
              <w:top w:val="nil"/>
            </w:tcBorders>
          </w:tcPr>
          <w:p w14:paraId="6B6FDAB0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</w:p>
        </w:tc>
        <w:tc>
          <w:tcPr>
            <w:tcW w:w="2556" w:type="dxa"/>
          </w:tcPr>
          <w:p w14:paraId="3363AE8A">
            <w:pPr>
              <w:pStyle w:val="152"/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(инициалы, фамилия)</w:t>
            </w:r>
          </w:p>
        </w:tc>
      </w:tr>
    </w:tbl>
    <w:p w14:paraId="403FCE63">
      <w:pPr>
        <w:pStyle w:val="152"/>
        <w:spacing w:line="360" w:lineRule="auto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b w:val="0"/>
          <w:bCs w:val="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2064385</wp:posOffset>
                </wp:positionH>
                <wp:positionV relativeFrom="paragraph">
                  <wp:posOffset>1621790</wp:posOffset>
                </wp:positionV>
                <wp:extent cx="2247900" cy="396240"/>
                <wp:effectExtent l="0" t="0" r="0" b="0"/>
                <wp:wrapNone/>
                <wp:docPr id="6" name="Текстовое 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4980" y="9090025"/>
                          <a:ext cx="22479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4B520">
                            <w:pPr>
                              <w:rPr>
                                <w:rFonts w:hint="default"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Санкт-Петербург 202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2.55pt;margin-top:127.7pt;height:31.2pt;width:177pt;z-index:251659264;mso-width-relative:page;mso-height-relative:page;" filled="f" stroked="f" coordsize="21600,21600" o:gfxdata="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OZ&#10;jXPcAAAACwEAAA8AAAAAAAAAAQAgAAAAIgAAAGRycy9kb3ducmV2LnhtbFBLAQIUABQAAAAIAIdO&#10;4kCf+Kd6WAIAAIQEAAAOAAAAAAAAAAEAIAAAACsBAABkcnMvZTJvRG9jLnhtbFBLBQYAAAAABgAG&#10;AFkBAAD1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04B520">
                      <w:pPr>
                        <w:rPr>
                          <w:rFonts w:hint="default"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Санкт-Петербург 202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</w:rPr>
        <w:br w:type="page"/>
      </w:r>
    </w:p>
    <w:p w14:paraId="6FCC42E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ВВЕДЕНИЕ</w:t>
      </w:r>
    </w:p>
    <w:p w14:paraId="0C68382F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рофессиональная тайна определяется как информация, защита которой от несанкционированного распространения является обязанностью субъекта в силу выполнения им профессиональных функций. К числу наиболее охраняемых видов профессиональной тайны в Российской Федерации относится банковская тайна[1, с. 36].</w:t>
      </w:r>
    </w:p>
    <w:p w14:paraId="0BB1E3E1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Актуальность темы обусловлена высокой значимостью финансовой информации как для отдельного гражданина (защита частной жизни и сбережений), так и для экономической безопасности государства в целом. Целью настоящей лабораторной работы является анализ правового режима банковской тайны по следующим направлениям: состав сведений, нормативно-правовая база, круг обязанных лиц и сроки хранения, а также виды ответственности за разглашение.</w:t>
      </w:r>
    </w:p>
    <w:p w14:paraId="64BCFEF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 ПОНЯТИЕ И СОСТАВ СВЕДЕНИЙ, ОТНОСЯЩИХСЯ К БАНКОВСКОЙ ТАЙНЕ</w:t>
      </w:r>
    </w:p>
    <w:p w14:paraId="4AA834EE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Банковская тайна – это правовой режим конфиденциальности информации об операциях, счетах и вкладах клиентов кредитных организаций, а также иных сведений, устанавливаемых кредитной организацией, которые подлежат обязательной защите от незаконного разглашения.</w:t>
      </w:r>
    </w:p>
    <w:p w14:paraId="1021A630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Основной перечень сведений, составляющих банковскую тайну, закреплен в статье 26 Федерального закона «О банках и банковской деятельности». К ним относятся:</w:t>
      </w:r>
    </w:p>
    <w:p w14:paraId="2D4342BA">
      <w:pPr>
        <w:numPr>
          <w:ilvl w:val="0"/>
          <w:numId w:val="1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Сведения о банковских счетах и вкладах: номера счетов, их остатки, дата открытия и закрытия.</w:t>
      </w:r>
    </w:p>
    <w:p w14:paraId="3E55DAAA">
      <w:pPr>
        <w:numPr>
          <w:ilvl w:val="0"/>
          <w:numId w:val="1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Информация об операциях по счетам: все движения денежных средств, включая суммы, даты, назначение платежей и контрагентов.</w:t>
      </w:r>
    </w:p>
    <w:p w14:paraId="358FC3E1">
      <w:pPr>
        <w:numPr>
          <w:ilvl w:val="0"/>
          <w:numId w:val="1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Данные о клиентах и их корреспондентах: идентификационная информация (паспортные данные, ИНН, адрес регистрации), а также сам факт наличия или отсутствия договорных отношений с банком.</w:t>
      </w:r>
    </w:p>
    <w:p w14:paraId="020E665C">
      <w:pPr>
        <w:numPr>
          <w:ilvl w:val="0"/>
          <w:numId w:val="1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Сведения о кредитной истории: информация о полученных и погашенных кредитах, платежной дисциплине клиента.</w:t>
      </w:r>
    </w:p>
    <w:p w14:paraId="690104BB">
      <w:pPr>
        <w:numPr>
          <w:ilvl w:val="0"/>
          <w:numId w:val="1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Данные, полученные в рамках процедур «знай своего клиента» (KYC): информация об источниках доходов, целях финансовых операций и бенефициарных владельцах.</w:t>
      </w:r>
    </w:p>
    <w:p w14:paraId="3F58CDE3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Важно отметить, что режим банковской тайны распространяется не только на действующих, но и на бывших клиентов после прекращения договорных отношений. Согласно учебному пособию [1, с. 34], ключевыми характеристиками такой информации являются полезность, своевременность и достоверность.</w:t>
      </w:r>
    </w:p>
    <w:p w14:paraId="738886F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 НОРМАТИВНО-ПРАВОВЫЕ АКТЫ, РЕГУЛИРУЮЩИЕ БАНКОВСКУЮ ТАЙНУ</w:t>
      </w:r>
    </w:p>
    <w:p w14:paraId="02F005C4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анковская тайна регулируется комплексом законодательных актов различного уровня. Иерархия этих документов представлена в таблице 1.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[1, с. 32]</w:t>
      </w:r>
    </w:p>
    <w:p w14:paraId="20B73A30">
      <w:pPr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Таблица 1 – Нормативно-правовая база банковской тайны РФ</w:t>
      </w:r>
    </w:p>
    <w:tbl>
      <w:tblPr>
        <w:tblW w:w="9418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2"/>
        <w:gridCol w:w="2376"/>
        <w:gridCol w:w="1416"/>
        <w:gridCol w:w="2964"/>
      </w:tblGrid>
      <w:tr w14:paraId="46818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E2F0A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Уровень регулирования</w:t>
            </w:r>
          </w:p>
        </w:tc>
        <w:tc>
          <w:tcPr>
            <w:tcW w:w="23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D0F21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Наименование документа</w:t>
            </w:r>
          </w:p>
        </w:tc>
        <w:tc>
          <w:tcPr>
            <w:tcW w:w="1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640E8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Статья / Раздел</w:t>
            </w:r>
          </w:p>
        </w:tc>
        <w:tc>
          <w:tcPr>
            <w:tcW w:w="29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E5627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Содержание нормы</w:t>
            </w:r>
          </w:p>
        </w:tc>
      </w:tr>
      <w:tr w14:paraId="36545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8" w:hRule="atLeast"/>
        </w:trPr>
        <w:tc>
          <w:tcPr>
            <w:tcW w:w="2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EEFDF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Конституционный</w:t>
            </w:r>
          </w:p>
        </w:tc>
        <w:tc>
          <w:tcPr>
            <w:tcW w:w="23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31B1C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Конституция РФ</w:t>
            </w:r>
          </w:p>
        </w:tc>
        <w:tc>
          <w:tcPr>
            <w:tcW w:w="1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C447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Статья 23</w:t>
            </w:r>
          </w:p>
        </w:tc>
        <w:tc>
          <w:tcPr>
            <w:tcW w:w="29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ECC8F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Право на неприкосновенность частной жизни, личную и семейную тайну</w:t>
            </w:r>
          </w:p>
        </w:tc>
      </w:tr>
      <w:tr w14:paraId="7396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2" w:hRule="atLeast"/>
        </w:trPr>
        <w:tc>
          <w:tcPr>
            <w:tcW w:w="2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EC0FF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Гражданско-правовой</w:t>
            </w:r>
          </w:p>
        </w:tc>
        <w:tc>
          <w:tcPr>
            <w:tcW w:w="23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17FE1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Гражданский кодекс РФ (ГК РФ)</w:t>
            </w:r>
          </w:p>
        </w:tc>
        <w:tc>
          <w:tcPr>
            <w:tcW w:w="1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4FCDE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Статья 857</w:t>
            </w:r>
          </w:p>
        </w:tc>
        <w:tc>
          <w:tcPr>
            <w:tcW w:w="29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6E742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Устанавливает понятие банковской тайны, круг сведений и порядок их предоставления</w:t>
            </w:r>
          </w:p>
        </w:tc>
      </w:tr>
      <w:tr w14:paraId="07AFB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2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569CE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Специальный (банковский)</w:t>
            </w:r>
          </w:p>
        </w:tc>
        <w:tc>
          <w:tcPr>
            <w:tcW w:w="23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D6C52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Федеральный закон № 395-1 «О банках и банковской деятельности»</w:t>
            </w:r>
          </w:p>
        </w:tc>
        <w:tc>
          <w:tcPr>
            <w:tcW w:w="1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3DAC4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Статья 26</w:t>
            </w:r>
          </w:p>
        </w:tc>
        <w:tc>
          <w:tcPr>
            <w:tcW w:w="29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1CE09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Детально регламентирует обязанность банков хранить тайну, перечень третьих лиц, имеющих право на получение информации, и условия ее раскрытия</w:t>
            </w:r>
          </w:p>
        </w:tc>
      </w:tr>
      <w:tr w14:paraId="77092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2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0DF50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Процессуальный</w:t>
            </w:r>
          </w:p>
        </w:tc>
        <w:tc>
          <w:tcPr>
            <w:tcW w:w="23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65BE6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Федеральный закон № 144-ФЗ «Об оперативно-розыскной деятельности»</w:t>
            </w:r>
          </w:p>
        </w:tc>
        <w:tc>
          <w:tcPr>
            <w:tcW w:w="1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EE973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Статья 9</w:t>
            </w:r>
          </w:p>
        </w:tc>
        <w:tc>
          <w:tcPr>
            <w:tcW w:w="29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B00CB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Устанавливает, что получение банковской тайны для оперативно-розыскных целей допускается только на основании судебного решения</w:t>
            </w:r>
          </w:p>
        </w:tc>
      </w:tr>
      <w:tr w14:paraId="41C39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0" w:hRule="atLeast"/>
        </w:trPr>
        <w:tc>
          <w:tcPr>
            <w:tcW w:w="2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6CEB2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Уголовно-правовой</w:t>
            </w:r>
          </w:p>
        </w:tc>
        <w:tc>
          <w:tcPr>
            <w:tcW w:w="23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0FE67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Уголовный кодекс РФ (УК РФ)</w:t>
            </w:r>
          </w:p>
        </w:tc>
        <w:tc>
          <w:tcPr>
            <w:tcW w:w="1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87DBC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Статья 183</w:t>
            </w:r>
          </w:p>
        </w:tc>
        <w:tc>
          <w:tcPr>
            <w:tcW w:w="29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84B5A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Устанавливает уголовную ответственность за незаконное получение и разглашение банковской тайны</w:t>
            </w:r>
          </w:p>
        </w:tc>
      </w:tr>
      <w:tr w14:paraId="4BFC2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7" w:hRule="atLeast"/>
        </w:trPr>
        <w:tc>
          <w:tcPr>
            <w:tcW w:w="2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23DF5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Административный</w:t>
            </w:r>
          </w:p>
        </w:tc>
        <w:tc>
          <w:tcPr>
            <w:tcW w:w="23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C9BB9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Кодекс об административных правонарушениях РФ (КоАП РФ)</w:t>
            </w:r>
          </w:p>
        </w:tc>
        <w:tc>
          <w:tcPr>
            <w:tcW w:w="1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EF672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Статья 13.14</w:t>
            </w:r>
          </w:p>
        </w:tc>
        <w:tc>
          <w:tcPr>
            <w:tcW w:w="29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693CA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Устанавливает административную ответственность за разглашение информации с ограниченным доступом</w:t>
            </w:r>
          </w:p>
        </w:tc>
      </w:tr>
      <w:tr w14:paraId="4D512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7" w:hRule="atLeast"/>
        </w:trPr>
        <w:tc>
          <w:tcPr>
            <w:tcW w:w="2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57EB8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Трудовой</w:t>
            </w:r>
          </w:p>
        </w:tc>
        <w:tc>
          <w:tcPr>
            <w:tcW w:w="23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AA0E8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Трудовой кодекс РФ (ТК РФ)</w:t>
            </w:r>
          </w:p>
        </w:tc>
        <w:tc>
          <w:tcPr>
            <w:tcW w:w="1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1CAF5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Статья 81, п. 6</w:t>
            </w:r>
          </w:p>
        </w:tc>
        <w:tc>
          <w:tcPr>
            <w:tcW w:w="29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E7B06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Предусматривает увольнение работника за разглашение охраняемой законом тайны</w:t>
            </w:r>
          </w:p>
        </w:tc>
      </w:tr>
    </w:tbl>
    <w:p w14:paraId="161BA0A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3D827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 СУБЪЕКТЫ И СРОК ХРАНЕНИЯ БАНКОВСКОЙ ТАЙНЫ</w:t>
      </w:r>
    </w:p>
    <w:p w14:paraId="50F8EE4E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Обязанность по хранению банковской тайны в соответствии со статьей 26 Закона «О банках и банковской деятельности» возлагается на строго определенный круг субъектов.</w:t>
      </w:r>
    </w:p>
    <w:p w14:paraId="61D5075D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 основным обязанным субъектам относятся:</w:t>
      </w:r>
    </w:p>
    <w:p w14:paraId="2B389B9B">
      <w:pPr>
        <w:numPr>
          <w:ilvl w:val="0"/>
          <w:numId w:val="12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Кредитные организации (банки) как юридические лица.</w:t>
      </w:r>
    </w:p>
    <w:p w14:paraId="6023ED89">
      <w:pPr>
        <w:numPr>
          <w:ilvl w:val="0"/>
          <w:numId w:val="12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Все работники банка (от рядового операциониста до топ-менеджмента), имеющие доступ к защищаемой информации.</w:t>
      </w:r>
    </w:p>
    <w:p w14:paraId="20324DF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  Центральный банк РФ (Банк России) и его служащие.</w:t>
      </w:r>
    </w:p>
    <w:p w14:paraId="61CDC28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  Организации, участвующие в обеспечении банковских операций: аудиторские фирмы, операторы платежных систем, инкассаторские службы и их работники.</w:t>
      </w:r>
    </w:p>
    <w:p w14:paraId="5810083F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 вторичным обязанным субъектам относятся лица, получившие информацию, составляющую банковскую тайну, на законных основаниях (например, адвокаты, судебные приставы, нотариусы в рамках исполнительного производства). Они также не вправе разглашать полученные сведения.</w:t>
      </w:r>
    </w:p>
    <w:p w14:paraId="16721E5D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Срок хранения банковской тайны:</w:t>
      </w:r>
    </w:p>
    <w:p w14:paraId="60DDB19A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Правило является бессрочным (пожизненным). Обязанность сохранять банковскую тайну не ограничена во времени и сохраняется:</w:t>
      </w:r>
    </w:p>
    <w:p w14:paraId="6BD18FD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после прекращения договорных отношений с клиентом (закрытия счета, погашения кредита);</w:t>
      </w:r>
    </w:p>
    <w:p w14:paraId="2CD28F0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после увольнения сотрудника из банка.</w:t>
      </w:r>
    </w:p>
    <w:p w14:paraId="395DB2C8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Правовое обоснование бессрочного характера заключается в том, что информация о прошлых финансовых операциях сохраняет свою чувствительность и может быть использована для мошенничества или шантажа. Прекращение обязанности возможно только в двух случаях: с письменного согласия самого клиента либо при предоставлении информации уполномоченным государственным органам на основании федерального закона (суду, следствию).</w:t>
      </w:r>
    </w:p>
    <w:p w14:paraId="1B66F70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BA3878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 ОТВЕТСТВЕННОСТЬ ЗА РАЗГЛАШЕНИЕ БАНКОВСКОЙ ТАЙНЫ</w:t>
      </w:r>
    </w:p>
    <w:p w14:paraId="5A7DEA94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азглашение банковской тайны влечет наступление нескольких видов ответственности. Классификация представлена в таблице 2.</w:t>
      </w:r>
    </w:p>
    <w:p w14:paraId="41231C0A">
      <w:pPr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Таблица 2 – Виды ответственности за разглашение банковской тайны</w:t>
      </w:r>
    </w:p>
    <w:tbl>
      <w:tblPr>
        <w:tblW w:w="935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9"/>
        <w:gridCol w:w="2114"/>
        <w:gridCol w:w="4566"/>
      </w:tblGrid>
      <w:tr w14:paraId="5CED1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26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4130C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Вид ответственности</w:t>
            </w:r>
          </w:p>
        </w:tc>
        <w:tc>
          <w:tcPr>
            <w:tcW w:w="2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601F3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Нормативный акт</w:t>
            </w:r>
          </w:p>
        </w:tc>
        <w:tc>
          <w:tcPr>
            <w:tcW w:w="45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6E995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Санкции / Последствия</w:t>
            </w:r>
          </w:p>
        </w:tc>
      </w:tr>
      <w:tr w14:paraId="1E4E5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</w:trPr>
        <w:tc>
          <w:tcPr>
            <w:tcW w:w="2679" w:type="dxa"/>
            <w:tcBorders>
              <w:top w:val="single" w:color="000000" w:sz="2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shd w:val="clear"/>
            <w:vAlign w:val="center"/>
          </w:tcPr>
          <w:p w14:paraId="468841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Уголовная</w:t>
            </w:r>
          </w:p>
        </w:tc>
        <w:tc>
          <w:tcPr>
            <w:tcW w:w="2114" w:type="dxa"/>
            <w:tcBorders>
              <w:top w:val="single" w:color="000000" w:sz="2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shd w:val="clear"/>
            <w:vAlign w:val="center"/>
          </w:tcPr>
          <w:p w14:paraId="6992D5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УК РФ, Статья 183</w:t>
            </w:r>
          </w:p>
        </w:tc>
        <w:tc>
          <w:tcPr>
            <w:tcW w:w="4566" w:type="dxa"/>
            <w:tcBorders>
              <w:top w:val="single" w:color="000000" w:sz="2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shd w:val="clear"/>
            <w:vAlign w:val="center"/>
          </w:tcPr>
          <w:p w14:paraId="38F08A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• Часть 1 (собирание путем похищения, подкупа): штраф до 500 тыс. руб. или лишение свободы до 2 лет.</w:t>
            </w:r>
          </w:p>
          <w:p w14:paraId="00F738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• Часть 2 (разглашение без согласия владельца): штраф до 1 млн руб. или лишение свободы до 3 лет.</w:t>
            </w:r>
          </w:p>
          <w:p w14:paraId="75E7F0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• Часть 3 (организованной группой или крупный ущерб &gt;1,5 млн руб.): лишение свободы до 7 лет.</w:t>
            </w:r>
          </w:p>
          <w:p w14:paraId="3E3268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• Часть 4 (тяжкие последствия): лишение свободы до 10 лет.</w:t>
            </w:r>
          </w:p>
        </w:tc>
      </w:tr>
      <w:tr w14:paraId="4BEEB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68BF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Административная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BDB7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КоАП РФ, Статья 13.14</w:t>
            </w:r>
          </w:p>
        </w:tc>
        <w:tc>
          <w:tcPr>
            <w:tcW w:w="4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5D4A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• Штраф на граждан: от 500 до 1000 руб.</w:t>
            </w:r>
          </w:p>
          <w:p w14:paraId="5D6BE1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• Штраф на должностных лиц: от 4000 до 5000 руб.</w:t>
            </w:r>
          </w:p>
        </w:tc>
      </w:tr>
      <w:tr w14:paraId="5D0C9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2679" w:type="dxa"/>
            <w:tcBorders>
              <w:top w:val="single" w:color="auto" w:sz="4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shd w:val="clear"/>
            <w:vAlign w:val="center"/>
          </w:tcPr>
          <w:p w14:paraId="773990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Дисциплинарная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shd w:val="clear"/>
            <w:vAlign w:val="center"/>
          </w:tcPr>
          <w:p w14:paraId="2E29F2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ТК РФ, Статья 81, п. 6</w:t>
            </w:r>
          </w:p>
        </w:tc>
        <w:tc>
          <w:tcPr>
            <w:tcW w:w="4566" w:type="dxa"/>
            <w:tcBorders>
              <w:top w:val="single" w:color="auto" w:sz="4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shd w:val="clear"/>
            <w:vAlign w:val="center"/>
          </w:tcPr>
          <w:p w14:paraId="518D7C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• Расторжение трудового договора (увольнение) по инициативе работодателя.</w:t>
            </w:r>
          </w:p>
        </w:tc>
      </w:tr>
      <w:tr w14:paraId="16F92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01E4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Гражданско-правовая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EAAF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ГК РФ, Статьи 15, 151</w:t>
            </w:r>
          </w:p>
        </w:tc>
        <w:tc>
          <w:tcPr>
            <w:tcW w:w="4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3E42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• Возмещение причиненных убытков (реальный ущерб + упущенная выгода).</w:t>
            </w:r>
          </w:p>
          <w:p w14:paraId="71AE5A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• Компенсация морального вреда.</w:t>
            </w:r>
          </w:p>
        </w:tc>
      </w:tr>
      <w:tr w14:paraId="743B6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679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E38B4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Санкции для организаций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00361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ФЗ № 395-1 «О банках...»</w:t>
            </w:r>
          </w:p>
        </w:tc>
        <w:tc>
          <w:tcPr>
            <w:tcW w:w="4566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9611D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• Систематическое нарушение режима банковской тайны может повлечь отзыв лицензии на осуществление банковской деятельности.</w:t>
            </w:r>
          </w:p>
        </w:tc>
      </w:tr>
    </w:tbl>
    <w:p w14:paraId="38DECF7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AE071E3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Важное примечание: Разглашение может быть как умышленным (например, продажа базы данных клиентов за вознаграждение), так и неумышленным (например, случайная отправка выписки по счету не тому адресату). </w:t>
      </w:r>
    </w:p>
    <w:p w14:paraId="6B50437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7BC6149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ЗАКЛЮЧЕНИЕ</w:t>
      </w:r>
    </w:p>
    <w:p w14:paraId="0C28C13A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 результате выполнения лабораторной работы был проведен анализ правового режима банковской тайны как одного из видов профессиональной тайны. Были сделаны следующие выводы:</w:t>
      </w:r>
    </w:p>
    <w:p w14:paraId="23ECC16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 Состав сведений банковской тайны включает не только информацию о счетах и операциях, но и идентификационные данные клиентов, а также результаты процедур KYC. Режим конфиденциальности распространяется на бывших клиентов бессрочно.</w:t>
      </w:r>
    </w:p>
    <w:p w14:paraId="5E4F5E5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  Нормативно-правовая база является многоуровневой и включает ГК РФ (статья 857), специальный закон № 395-1 (статья 26), а также нормы УК РФ и КоАП РФ, что свидетельствует о высокой степени защиты этого вида информации со стороны государства.</w:t>
      </w:r>
    </w:p>
    <w:p w14:paraId="7A929B3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  Обязанность по хранению возлагается на широкий круг лиц (банки, ЦБ РФ, аудиторов, их сотрудников) и является бессрочной (пожизненной), не прекращаясь после увольнения или закрытия счета.</w:t>
      </w:r>
    </w:p>
    <w:p w14:paraId="7CD8BF8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  Ответственность за разглашение является одной из самых строгих среди всех видов профессиональной тайны и варьируется от дисциплинарного взыскания (увольнения) до уголовного наказания в виде лишения свободы на срок до 10 лет (при тяжких последствиях). Для организаций крайней мерой является отзыв лицензии.</w:t>
      </w:r>
    </w:p>
    <w:p w14:paraId="60F19B17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Таким образом, банковская тайна в РФ представляет собой образец строгого правового режима, сочетающего детальную законодательную регламентацию с жесткими санкциями за нарушение.</w:t>
      </w:r>
    </w:p>
    <w:p w14:paraId="3143899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0FBD8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0AE8FAB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СПИСОК ИСПОЛЬЗОВАННЫХ ИСТОЧНИКОВ</w:t>
      </w:r>
    </w:p>
    <w:p w14:paraId="0892CD4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 Рындюк, В. А. Методы и средства защиты информации : учебно-методическое пособие / В. А. Рындюк. – Санкт-Петербург : ГУАП, 2021. – 86 с.</w:t>
      </w:r>
    </w:p>
    <w:p w14:paraId="096DADB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  Российская Федерация. Законы. О банках и банковской деятельности : Федеральный закон № 395-1 : [принят 2 декабря 1990 года] : (ред. от 26.02.2025). – Москва, 1990.</w:t>
      </w:r>
    </w:p>
    <w:p w14:paraId="4997BA3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  Российская Федерация. Кодексы. Граждански</w:t>
      </w:r>
      <w:bookmarkStart w:id="1" w:name="_GoBack"/>
      <w:bookmarkEnd w:id="1"/>
      <w:r>
        <w:rPr>
          <w:rFonts w:hint="default" w:ascii="Times New Roman" w:hAnsi="Times New Roman" w:cs="Times New Roman"/>
          <w:sz w:val="28"/>
          <w:szCs w:val="28"/>
          <w:lang w:val="en-US"/>
        </w:rPr>
        <w:t>й кодекс Российской Федерации (часть первая) : [принят 21 октября 1994 года] : (ред. от 08.08.2024). – Москва, 1994.</w:t>
      </w:r>
    </w:p>
    <w:p w14:paraId="207B24E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  Российская Федерация. Кодексы. Уголовный кодекс Российской Федерации : [принят 13 июня 1996 года] : (ред. от 28.06.2025). – Москва, 1996.</w:t>
      </w:r>
    </w:p>
    <w:p w14:paraId="2545939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5.  Российская Федерация. Кодексы. Кодекс Российской Федерации об административных правонарушениях : [принят 30 декабря 2001 года] : (ред. от 01.07.2025). – Москва, 2001.</w:t>
      </w:r>
    </w:p>
    <w:p w14:paraId="57C330F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CE35FE"/>
    <w:multiLevelType w:val="singleLevel"/>
    <w:tmpl w:val="B8CE35F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678B09"/>
    <w:multiLevelType w:val="singleLevel"/>
    <w:tmpl w:val="DF678B0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11"/>
  </w:num>
  <w:num w:numId="7">
    <w:abstractNumId w:val="9"/>
  </w:num>
  <w:num w:numId="8">
    <w:abstractNumId w:val="8"/>
  </w:num>
  <w:num w:numId="9">
    <w:abstractNumId w:val="10"/>
  </w:num>
  <w:num w:numId="10">
    <w:abstractNumId w:val="5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43502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4D07F96"/>
    <w:rsid w:val="1FB43502"/>
    <w:rsid w:val="3D2E204C"/>
    <w:rsid w:val="6360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Стиль1"/>
    <w:basedOn w:val="1"/>
    <w:qFormat/>
    <w:uiPriority w:val="0"/>
    <w:pPr>
      <w:ind w:leftChars="200"/>
    </w:pPr>
    <w:rPr>
      <w:rFonts w:ascii="Times New Roman" w:hAnsi="Times New Roman" w:cs="Times New Roman" w:eastAsiaTheme="minorEastAsia"/>
      <w:sz w:val="24"/>
      <w:szCs w:val="24"/>
      <w:lang w:val="ru-RU" w:eastAsia="en-US"/>
    </w:rPr>
  </w:style>
  <w:style w:type="paragraph" w:styleId="152">
    <w:name w:val="No Spacing"/>
    <w:qFormat/>
    <w:uiPriority w:val="1"/>
    <w:pPr>
      <w:spacing w:after="0" w:line="240" w:lineRule="auto"/>
    </w:pPr>
    <w:rPr>
      <w:rFonts w:ascii="Cambria" w:hAnsi="Cambria" w:eastAsiaTheme="minorHAnsi" w:cstheme="minorBidi"/>
      <w:sz w:val="24"/>
      <w:szCs w:val="24"/>
      <w:lang w:val="e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2026-03-02T10:00:00Z</dcterms:created>
  <dc:creator>Lieson Mwale</dc:creator>
  <cp:lastModifiedBy>Lieson Mwale</cp:lastModifiedBy>
  <dcterms:modified xsi:type="dcterms:W3CDTF">2026-04-07T10:10:32Z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AC770A5A51D74A99BB6343998FFBB392_11</vt:lpwstr>
  </property>
</Properties>
</file>