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6937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Cs w:val="28"/>
          <w:lang w:val="en-US" w:eastAsia="zh-CN" w:bidi="ar-SA"/>
        </w:rPr>
      </w:sdtEndPr>
      <w:sdtContent>
        <w:p w14:paraId="33CAB9E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  <w:t>СОДЕРЖАНИЕ</w:t>
          </w:r>
        </w:p>
        <w:p w14:paraId="77DC7E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</w:p>
        <w:p w14:paraId="413A197B">
          <w:pPr>
            <w:pStyle w:val="153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_Toc30372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_Toc30372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56C3F0F">
          <w:pPr>
            <w:pStyle w:val="153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_Toc27121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 КОНЦЕПЦИЯ ПРОЕКТА, ЦЕЛИ И СТРУКТУРА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_Toc27121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0F34E2C">
          <w:pPr>
            <w:pStyle w:val="154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_Toc367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1.1 Выбор и обоснование направления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49C96C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_Toc27065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1.1.1 Конкретное направление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_Toc27065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30CF40E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_Toc23486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1.1.2 Анализ целевой аудитории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_Toc23486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38BFBC1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_Toc8052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1.1.3 Обоснование актуальности со статистическими данными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_Toc8052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54BFFC0">
          <w:pPr>
            <w:pStyle w:val="154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_Toc30645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i w:val="0"/>
              <w:iCs w:val="0"/>
              <w:sz w:val="28"/>
              <w:szCs w:val="28"/>
            </w:rPr>
            <w:t>1.2 Формирование идеи и целей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_Toc30645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855A220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_Toc29368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1.2.1 Интеллект-карта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_Toc29368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F36265C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_Toc27785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1.2.2 Состав и характеристика стейкхолдеров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_Toc27785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571879F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_Toc7162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1.2.3 Формулирование миссии и SMART-цели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_Toc7162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EEEB87F">
          <w:pPr>
            <w:pStyle w:val="154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_Toc24229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i w:val="0"/>
              <w:iCs w:val="0"/>
              <w:sz w:val="28"/>
              <w:szCs w:val="28"/>
              <w:lang w:val="en-US"/>
            </w:rPr>
            <w:t>1.3 Структура целей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_Toc24229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48AB1B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_Toc27803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1.3.1 Дерево целей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_Toc27803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4819EED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 АНАЛИТИЧЕСКАЯ ЧАСТЬ ПРОЕКТА (УЧАСТНИК 2)</w:t>
          </w:r>
        </w:p>
        <w:p w14:paraId="09312C3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outlineLvl w:val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2.1 Анализ среды проекта</w:t>
          </w:r>
        </w:p>
        <w:p w14:paraId="556C0171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2.1.1 PEST-анализ внешних факторов</w:t>
          </w:r>
        </w:p>
        <w:p w14:paraId="6BC29D09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2.1.2 SWOT-анализ внутренних и внешних факторов</w:t>
          </w:r>
        </w:p>
        <w:p w14:paraId="7BDAE6C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2.1.3 Выводы по результатам анализа</w:t>
          </w:r>
        </w:p>
        <w:p w14:paraId="61CB46A8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2.2 Анализ факторов влияния</w:t>
          </w:r>
        </w:p>
        <w:p w14:paraId="5EBC976A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2.2.1 Диаграмма Исикавы факторов, влияющих на достижение цели</w:t>
          </w:r>
        </w:p>
        <w:p w14:paraId="7DE273B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outlineLvl w:val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2.3 Жизненный цикл проекта</w:t>
          </w:r>
        </w:p>
        <w:p w14:paraId="0088F701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2.3.1 График жизненного цикла и описание этапов</w:t>
          </w:r>
        </w:p>
        <w:p w14:paraId="7250274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outlineLvl w:val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2.4 Анализ рисков</w:t>
          </w:r>
        </w:p>
        <w:p w14:paraId="0E8DA06A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2.4.1 Матрица рисков с превентивными мерами и способами минимизации</w:t>
          </w:r>
        </w:p>
        <w:p w14:paraId="3922AD4D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 ПЛАНИРОВАНИЕ И ЭКОНОМИЧЕСКАЯ ЧАСТЬ (УЧАСТНИК 3)</w:t>
          </w:r>
        </w:p>
        <w:p w14:paraId="21D0BE3D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3.1 Планирование проекта</w:t>
          </w:r>
        </w:p>
        <w:p w14:paraId="3BE5024E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3.1.1 Диаграмма Ганта</w:t>
          </w:r>
        </w:p>
        <w:p w14:paraId="25C89ED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3.1.2 Бизнес-модель Остервальдера</w:t>
          </w:r>
        </w:p>
        <w:p w14:paraId="0D35206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3.1.3 Сетевой график с расчетами и схемой</w:t>
          </w:r>
        </w:p>
        <w:p w14:paraId="6362627D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3.2 Финансовая модель</w:t>
          </w:r>
        </w:p>
        <w:p w14:paraId="440B97A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3.2.1 Формулы финансовой оценки с пояснениями</w:t>
          </w:r>
        </w:p>
        <w:p w14:paraId="4911189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840" w:firstLineChars="30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3.2.2 Расчет точки безубыточности и график</w:t>
          </w:r>
        </w:p>
        <w:p w14:paraId="2958423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150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3.3 Выводы о целесообразности реализации проекта</w:t>
          </w:r>
        </w:p>
        <w:p w14:paraId="26D0385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</w:p>
        <w:p w14:paraId="2D80475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t>СПИСОК ЛИТЕРАТУРЫ</w:t>
          </w:r>
        </w:p>
        <w:p w14:paraId="0ADA8067">
          <w:pPr>
            <w:pStyle w:val="153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</w:p>
        <w:p w14:paraId="4BC6CCB4">
          <w:pPr>
            <w:spacing w:line="360" w:lineRule="auto"/>
            <w:rPr>
              <w:rFonts w:hint="default" w:ascii="Times New Roman" w:hAnsi="Times New Roman" w:cs="Times New Roman" w:eastAsiaTheme="minorEastAsia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47C932">
      <w:pPr>
        <w:rPr>
          <w:rFonts w:hint="default" w:ascii="Times New Roman" w:hAnsi="Times New Roman" w:cs="Times New Roman" w:eastAsiaTheme="minorEastAsia"/>
          <w:szCs w:val="28"/>
          <w:lang w:val="en-US" w:eastAsia="zh-CN" w:bidi="ar-SA"/>
        </w:rPr>
      </w:pPr>
    </w:p>
    <w:p w14:paraId="34FA3D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14292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Toc30372"/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0"/>
    </w:p>
    <w:p w14:paraId="02840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экономике России наблюдается устойчивая тенденция к росту студенческой занятости. Значительная часть студентов совмещает учебу с работой, при этом многие из них трудятся по будущей специальности для получения практического опыта. Одновременно с этим работодатели сталкиваются с кадровым дефицитом в различных отраслях экономики и все чаще обращаются к стажировкам как к инструменту поиска и подготовки молодых специалистов.</w:t>
      </w:r>
    </w:p>
    <w:p w14:paraId="2C3DC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Однако существующие на рынке универсальные платформы для поиска работы не обладают специализированным функционалом, учитывающим особенности студенческой аудитории и специфику стажерских позиций. Студенты сталкиваются с проблемой поиска релевантных вакансий, не требующих опыта работы, а работодатели испытывают трудности в привлечении мотивированных молодых кадров. Часть студентов не знает, где искать стажировки, что подтверждает наличие информационного разрыва на рынке студенческой занятости.</w:t>
      </w:r>
    </w:p>
    <w:p w14:paraId="0C64D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Данный проект направлен на создание специализированного онлайн-сервиса «StartWay» для поиска стажировок, подработки и первых рабочих мест для студентов. Целью проекта является разработка и запуск веб-платформы и мобильного приложения в течение двенадцати месяцев с привлечением значительного числа пользователей-студентов и компаний-работодателей.</w:t>
      </w:r>
    </w:p>
    <w:p w14:paraId="648F3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Настоящая проектная работа выполняется в соответствии с заданием по курсу «Управление проектами в ИТ-сфере» и содержит три раздела, распределенных между участниками команды. В первом разделе представлены концепция проекта, его цели и структура. Второй раздел посвящен аналитической части, включая анализ внешней и внутренней среды, факторов влияния, жизненного цикла и рисков. Третий раздел содержит планирование реализации проекта и экономическое обоснование его целесообразности.</w:t>
      </w:r>
    </w:p>
    <w:p w14:paraId="212E7B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_Toc27121"/>
      <w:r>
        <w:rPr>
          <w:rFonts w:hint="default" w:ascii="Times New Roman" w:hAnsi="Times New Roman" w:cs="Times New Roman"/>
          <w:sz w:val="28"/>
          <w:szCs w:val="28"/>
        </w:rPr>
        <w:t>1. КОНЦЕПЦИЯ ПРОЕКТА, ЦЕЛИ И СТРУКТУРА</w:t>
      </w:r>
      <w:bookmarkEnd w:id="1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125B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center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" w:name="_Toc367"/>
      <w:r>
        <w:rPr>
          <w:rStyle w:val="152"/>
          <w:rFonts w:hint="default" w:ascii="Times New Roman" w:hAnsi="Times New Roman" w:cs="Times New Roman"/>
          <w:i w:val="0"/>
          <w:iCs w:val="0"/>
        </w:rPr>
        <w:t>1.1 Выбор и обоснование направления проекта</w:t>
      </w:r>
      <w:bookmarkEnd w:id="2"/>
    </w:p>
    <w:p w14:paraId="41AF970E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3" w:name="_Toc27065"/>
      <w:r>
        <w:rPr>
          <w:rFonts w:hint="default" w:ascii="Times New Roman" w:hAnsi="Times New Roman" w:cs="Times New Roman"/>
          <w:sz w:val="28"/>
          <w:szCs w:val="28"/>
        </w:rPr>
        <w:t>1.1.1 Конкретное направление</w:t>
      </w:r>
      <w:bookmarkEnd w:id="3"/>
    </w:p>
    <w:p w14:paraId="40C8F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Данный проект направлен на разработку и запуск онлайн-сервиса для поиска стажировок, подработки и первых рабочих мест для студентов на территории Российской Федерации. Платформа будет реализована в виде веб-платформы и мобильного приложения, выполняя функцию специализированного агрегатора, который соединяет студентов, стремящихся получить практический опыт, с работодателями, заинтересованными в поиске молодых талантов. Предлагаемое название для проекта — «StartWay» — цифровая экосистема для студенческой занятости, упрощающая переход от образования к профессиональной карьере.</w:t>
      </w:r>
    </w:p>
    <w:p w14:paraId="547954E7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4" w:name="_Toc23486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1.1.2 Анализ целевой аудитории</w:t>
      </w:r>
      <w:bookmarkEnd w:id="4"/>
    </w:p>
    <w:p w14:paraId="7D272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целевая аудитория проекта представлена студентами вузов и колледжей в возрасте от 18 до 25 лет, обучающимися по программам бакалавриата, специалитета или магистратуры в крупных городах России с перспективой дальнейшего расширения на регионы. Данные пользователи ищут стажировки, места для прохождения практики или частичную занятость по своей специальности. Характерными чертами этой аудитории являются высокая мотивация к получению практических навыков параллельно с учебой, стремление к финансовой независимости от родителей, карьерная ориентированность, нацеленная на формирование конкурентоспособного резюме, а также цифровая грамотность и привычка к использованию онлайн-платформ и мобильных приложений [1, С. 15].</w:t>
      </w:r>
    </w:p>
    <w:p w14:paraId="7F2FE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Согласно последним исследованиям, из 10,8 миллиона студентов в России 4,5 миллиона учащихся вузов и 2 миллиона получающих среднее профессиональное образование в настоящее время работают, что в сумме составляет 61% российских студентов, совмещающих учебу с работой [2, С. 18]. Среди работающих студентов почти 74% трудятся по будущей специальности для получения практического опыта. Мотивы трудовой деятельности распределяются следующим образом: 43,5% студентов стремятся к финансовой независимости от родителей, 21,7% ориентированы на карьеру и получение опыта, тогда как 4,3% вынуждены работать из-за сложного материального положения семьи [2, С. 19].</w:t>
      </w:r>
    </w:p>
    <w:p w14:paraId="192CD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Вторичную аудиторию составляют компании-работодатели различного масштаба — от малого и среднего бизнеса до крупных корпораций, а именно их HR-отделы и специалисты по подбору персонала. Ключевыми отраслями для проекта выступают информационные технологии, промышленные предприятия, строительство, финансовый сектор, а также сфера B2B и B2C продаж. Их потребности заключаются в доступе к мотивированным молодым кадрам, наличии эффективного канала для поиска стажеров и практикантов, формировании кадрового резерва для будущего найма и снижении затрат на рекрутинг за счет таргетированного подхода. Исследования показывают, что 64% российских работодателей принимают на стажировки молодых специалистов, при этом в каждой пятой компании действуют соответствующие программы, а 43% обучают молодежь без специально утвержденной концепции [5, С. 24].</w:t>
      </w:r>
    </w:p>
    <w:p w14:paraId="20D8ACC9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5" w:name="_Toc8052"/>
      <w:r>
        <w:rPr>
          <w:rFonts w:hint="default" w:ascii="Times New Roman" w:hAnsi="Times New Roman" w:cs="Times New Roman"/>
          <w:sz w:val="28"/>
          <w:szCs w:val="28"/>
        </w:rPr>
        <w:t>1.1.3 Обоснование актуальности со статистическими данными</w:t>
      </w:r>
      <w:bookmarkEnd w:id="5"/>
    </w:p>
    <w:p w14:paraId="19D23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Рынок студенческой занятости в России демонстрирует устойчивый рост и представляет собой существенную возможность для создания специализированной платформы. Исследование компании ANCOR и платформы «Россия – страна возможностей», в котором приняли участие почти 13 тысяч молодых людей, показывает, что почти треть опрошенных (32%) хотят начать карьеру во время учебы. При этом 13% студентов не знают, где искать стажировки, что подтверждает наличие информационного разрыва, который может быть закрыт специализированным сервисом [3, С. 21].</w:t>
      </w:r>
    </w:p>
    <w:p w14:paraId="33D72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Рынок вакансий для стажеров демонстрирует впечатляющую динамику. По данным hh.ru, за первое полугодие 2024 года количество вакансий-стажировок в России достигло 33 тысяч, что на 52% превысило показатель аналогичного периода 2023 года. Весной 2024 года число предложений стажировок выросло на 68% при сравнении год к году по данным сервиса «Авито Работа». В период с января по октябрь 2024 года российские работодатели указали возможности для стажировок в более чем 54 тысячах вакансий, что на 30% больше, чем в предыдущем году за тот же период [4, С. 23].</w:t>
      </w:r>
    </w:p>
    <w:p w14:paraId="4A173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Вовлеченность работодателей в программы стажировок также претерпела значительные изменения. Доля российских компаний и государственных организаций, приглашающих на стажировку, выросла с 26% до 50% начиная с 2018 года [4, С. 23]. Важно отметить, что большинство компаний (77%) готовы платить стажерам, предлагая оплачиваемые стажировки [5, С. 24]. Вовлеченность студентов в стажировки увеличилась почти в шесть раз — с 3% до 20% [4, С. 23].</w:t>
      </w:r>
    </w:p>
    <w:p w14:paraId="258A4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Исследование hh.ru показало, что 60% российских студентов стажировались, работали или подрабатывали летом 2023 года, с почти две трети из них делали это с целью начать карьеру и получить опыт работы [6, С. 25]. Стажировка действительно может стать стартом карьеры: в половине случаев молодые специалисты после стажировки попадают в штат [6, С. 25]. Согласно данным SuperJob, 74% россиян, имеющих стажерский опыт, по итогам стажировки получали предложение о работе, с 54% его принимали [5, С. 24].</w:t>
      </w:r>
    </w:p>
    <w:p w14:paraId="780BC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Тенденции в оплате труда стажеров также демонстрируют положительную динамику. Согласно исследованию FutureToday, средняя заработная плата для участников стажерских программ в 2024–2025 учебном году составляет от 61 до 70 тысяч рублей, а в Москве на треть увеличилось число предложений с оплатой выше 100 тысяч рублей [7, С. 26]. В крупных компаниях, таких как «Сбер», оплата стажировки в Москве при выходе на 40 часов в неделю составляет до 70 731 рубля после вычета налогов [8, С. 27].</w:t>
      </w:r>
    </w:p>
    <w:p w14:paraId="69C90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Поисковый интерес к стажировкам обладает выраженной сезонностью с пиками в октябре и марте, причем октябрьские запросы на 15% превышают мартовские. В крупных российских городах количество поисковых запросов по слову «Стажировка» составляет приблизительно от 100 до 110 тысяч в год [2, С. 19]. Дефицит кадров в различных отраслях дополнительно подчеркивает важность платформ для студенческой занятости. Согласно опросу руководителей бизнеса, проведенному в июне 2025 года, кадровый голод наблюдается практически во всех отраслях — от здравоохранения до торговли и добычи полезных ископаемых. Наиболее востребованными направлениями являются IT-специалисты, квалифицированные рабочие, операторы производственных линий, водители, инженеры, а также специалисты по маркетингу и продажам [9, С. 28].</w:t>
      </w:r>
    </w:p>
    <w:p w14:paraId="642AE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представленные статистические данные убедительно демонстрируют растущую потребность рынка в специализированной платформе для поиска стажировок и студенческой работы. Учитывая, что 61% студентов работает во время учебы, наблюдается 52% рост количества стажировок и сохраняется кадровый дефицит в различных отраслях, существует явный рыночный разрыв, который может быть заполнен нишевым сервисом для студентов. Универсальные сайты по поиску работы, такие как hh.ru и SuperJob, не обладают специализированным функционалом для студентов и стажеров, что создает возможность для нишевой платформы.</w:t>
      </w:r>
    </w:p>
    <w:p w14:paraId="32EF1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center"/>
        <w:textAlignment w:val="auto"/>
        <w:outlineLvl w:val="1"/>
        <w:rPr>
          <w:rStyle w:val="152"/>
          <w:rFonts w:hint="default" w:ascii="Times New Roman" w:hAnsi="Times New Roman" w:eastAsia="SimSun" w:cs="Times New Roman"/>
          <w:i w:val="0"/>
          <w:iCs w:val="0"/>
        </w:rPr>
      </w:pPr>
      <w:bookmarkStart w:id="6" w:name="_Toc30645"/>
      <w:r>
        <w:rPr>
          <w:rStyle w:val="152"/>
          <w:rFonts w:hint="default" w:ascii="Times New Roman" w:hAnsi="Times New Roman" w:eastAsia="SimSun" w:cs="Times New Roman"/>
          <w:i w:val="0"/>
          <w:iCs w:val="0"/>
        </w:rPr>
        <w:t>1.2 Формирование идеи и целей проекта</w:t>
      </w:r>
      <w:bookmarkEnd w:id="6"/>
    </w:p>
    <w:p w14:paraId="5E9519CF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7" w:name="_Toc29368"/>
      <w:r>
        <w:rPr>
          <w:rFonts w:hint="default" w:ascii="Times New Roman" w:hAnsi="Times New Roman" w:cs="Times New Roman"/>
          <w:sz w:val="28"/>
          <w:szCs w:val="28"/>
        </w:rPr>
        <w:t>1.2.1 Интеллект-карта проекта</w:t>
      </w:r>
      <w:bookmarkEnd w:id="7"/>
    </w:p>
    <w:p w14:paraId="5F1C9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методологией, описанной Тони Бьюзеном в материалах курса, была разработана интеллект-карта, визуализирующая концепцию сервиса «StartWay» и демонстрирующая основные функциональные блоки и их взаимосвязи. Центральный образ представляет собой ядро концепции, от которого отходят основные ветви, соответствующие ключевым функциональным областям, с последующей детализацией на подветвях [10, С. 57-64].</w:t>
      </w:r>
    </w:p>
    <w:p w14:paraId="2BF40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40425" cy="7693025"/>
            <wp:effectExtent l="0" t="0" r="317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3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— Интеллект-карта проекта «StartWay» (сервис поиска стажировок)</w:t>
      </w:r>
    </w:p>
    <w:p w14:paraId="3171E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центре интеллект-карты располагается основная идея — «Сервис поиска стажировок STARTWAY». Пять основных ветвей первого уровня отходят от центра, представляя главные функциональные блоки платформы.</w:t>
      </w:r>
    </w:p>
    <w:p w14:paraId="60864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Ветвь «Поиск вакансий» включает фильтры по специальности, городу, графику работы, размеру заработной платы и требуемому опыту, а также функционал сохранения вакансий в избранное и историю откликов. Это обеспечивает студентам возможность быстро находить предложения, соответствующие их конкретным критериям, без необходимости вручную просматривать нерелевантные списки.</w:t>
      </w:r>
    </w:p>
    <w:p w14:paraId="0107D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Ветвь «Резюме» охватывает создание резюме с использованием шаблонов, загрузку файлов в форматах PDF и DOC, настройки видимости для работодателей и возможность получения AI-рекомендаций по улучшению. Данный функционал помогает студентам профессионально представить себя потенциальным работодателям.</w:t>
      </w:r>
    </w:p>
    <w:p w14:paraId="68EA6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Ветвь «Профиль компании» включает регистрацию организации, размещение вакансий, просмотр кандидатов, систему отслеживания заявок и панель аналитики. Это предоставляет работодателям все необходимые инструменты для эффективного управления процессом найма.</w:t>
      </w:r>
    </w:p>
    <w:p w14:paraId="092E8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Ветвь «Уведомления» обеспечивает push-уведомления о новых вакансиях, изменении статуса откликов и новостях платформы. Это поддерживает вовлеченность пользователей и информирует их о relevant возможностях.</w:t>
      </w:r>
    </w:p>
    <w:p w14:paraId="6BC72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Дополнительные ветви для «Сообщений» и «Панели работодателя» завершают функциональную экосистему, обеспечивая прямой канал коммуникации между студентами и компаниями. Система сообщений позволяет организовывать собеседования и прямое общение, в то время как панель работодателя предоставляет аналитику по эффективности вакансий и откликам кандидатов.</w:t>
      </w:r>
    </w:p>
    <w:p w14:paraId="54E6B98C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8" w:name="_Toc27785"/>
      <w:r>
        <w:rPr>
          <w:rFonts w:hint="default" w:ascii="Times New Roman" w:hAnsi="Times New Roman" w:cs="Times New Roman"/>
          <w:sz w:val="28"/>
          <w:szCs w:val="28"/>
        </w:rPr>
        <w:t>1.2.2 Состав и характеристика стейкхолдеров</w:t>
      </w:r>
      <w:bookmarkEnd w:id="8"/>
    </w:p>
    <w:p w14:paraId="2EA13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теории управления проектами, изложенной в учебных материалах, определен следующий состав стейкхолдеров для проекта «StartWay» с характеристикой их ролей, интересов и уровня влияния [1, С. 8-9].</w:t>
      </w:r>
    </w:p>
    <w:p w14:paraId="2589B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 — Состав и характеристика стейкхолдеров проекта «StartWay»</w:t>
      </w:r>
    </w:p>
    <w:tbl>
      <w:tblPr>
        <w:tblStyle w:val="12"/>
        <w:tblW w:w="973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817"/>
        <w:gridCol w:w="3047"/>
        <w:gridCol w:w="2850"/>
      </w:tblGrid>
      <w:tr w14:paraId="4706B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511F095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Стейкхолдер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20F252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Роль в проекте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39AFEFA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Интересы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3D28E3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Уровень влияния</w:t>
            </w:r>
          </w:p>
        </w:tc>
      </w:tr>
      <w:tr w14:paraId="25572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2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DA93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Студенты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EA41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Конечные пользователи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09A0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Доступ к релевантным вакансиям, удобный интерфейс, быстрый отклик, возможности карьерного развития, справедливые условия труда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58B1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Высокий (первичные пользователи)</w:t>
            </w:r>
          </w:p>
        </w:tc>
      </w:tr>
      <w:tr w14:paraId="0D3D7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2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31B9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Работодатели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CC8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Партнеры / Поставщики контента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605A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Доступ к мотивированным молодым кадрам, эффективный отбор кандидатов, видимость бренда среди студентов, снижение затрат на рекрутинг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2A8F8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Высокий (ключевые для контента)</w:t>
            </w:r>
          </w:p>
        </w:tc>
      </w:tr>
      <w:tr w14:paraId="40326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391F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Команда проекта (разработчики)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BEA7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Исполнители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3472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Успешная техническая реализация, профессиональный рост, успех проекта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78C12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Высокий (исполнение)</w:t>
            </w:r>
          </w:p>
        </w:tc>
      </w:tr>
      <w:tr w14:paraId="09CEC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8F4A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Инвесторы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832B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Финансовые спонсоры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D70F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Возврат инвестиций, масштабируемость проекта, доля рынка, прибыльность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9B9B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Средне-высокий</w:t>
            </w:r>
          </w:p>
        </w:tc>
      </w:tr>
      <w:tr w14:paraId="24705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A245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Университеты и колледжи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F122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Институциональные партнеры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064D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Трудоустройство выпускников, организация практики, карьерные результаты студентов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FCC51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Средний</w:t>
            </w:r>
          </w:p>
        </w:tc>
      </w:tr>
      <w:tr w14:paraId="3FD6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8910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Государственные органы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2E15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Внешняя среда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F627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Содействие занятости молодежи, соблюдение трудового законодательства, соответствие кадров потребностям экономики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316C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Низко-средний</w:t>
            </w:r>
          </w:p>
        </w:tc>
      </w:tr>
      <w:tr w14:paraId="54D48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C926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Конкуренты (hh.ru, SuperJob и др.)</w:t>
            </w:r>
          </w:p>
        </w:tc>
        <w:tc>
          <w:tcPr>
            <w:tcW w:w="17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487C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Участники рынка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F6F0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Динамика рынка, потенциальное партнерство или конкуренция</w:t>
            </w:r>
          </w:p>
        </w:tc>
        <w:tc>
          <w:tcPr>
            <w:tcW w:w="3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83D3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Низкий (косвенный)</w:t>
            </w:r>
          </w:p>
        </w:tc>
      </w:tr>
    </w:tbl>
    <w:p w14:paraId="3F0F5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154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Студенты как первичные пользователи представляют собой потенциальную базу примерно в 6,5 миллионов человек по всей России. Согласно исследованиям, 65% опрошенных студентов и выпускников рассматривают стажировку прежде всего как возможность получить практические навыки, для 17% это шанс трудоустройства, а для каждого девятого это поиски себя и попытка определиться с профессией [5, С. 24].</w:t>
      </w:r>
    </w:p>
    <w:p w14:paraId="5223E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Работодатели, в свою очередь, в 64% случаев организуют стажировки для молодых специалистов, с каждая вторая компания нанимает более половины тех, кто проходил у нее стажировку [5, С. 24]. Среди работодателей, принимающих стажеров, 52% предлагают трудоустройство более чем половине своих стажеров, в то время как 27% делают предложения только особо отличившимся кандидатам [5, С. 24].</w:t>
      </w:r>
    </w:p>
    <w:p w14:paraId="7066E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проекта состоит из разработчиков, дизайнеров и маркетологов, которые несут ответственность за успешную техническую реализацию платформы. Их интересы включают профессиональный рост и общий успех проекта.</w:t>
      </w:r>
    </w:p>
    <w:p w14:paraId="1F51E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Инвесторы предоставляют необходимые финансовые ресурсы для разработки проекта и заинтересованы прежде всего в возврате инвестиций, масштабируемости проекта и прибыльности. Их влияние особенно значительно на ранних этапах проекта.</w:t>
      </w:r>
    </w:p>
    <w:p w14:paraId="23D44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Университеты и колледжи выступают в качестве потенциальных институциональных партнеров, которые могут помочь в продвижении платформы среди студентов и содействовать организации стажировок. Их интересы включают повышение уровня трудоустройства выпускников и предоставление качественных возможностей для стажировок своим студентам.</w:t>
      </w:r>
    </w:p>
    <w:p w14:paraId="1F489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Государственные органы представляют внешнюю регуляторную среду и заинтересованы в содействии занятости молодежи и обеспечении соблюдения трудового законодательства. Их влияние является косвенным, но важным для долгосрочной устойчивости.</w:t>
      </w:r>
    </w:p>
    <w:p w14:paraId="72AB1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Конкуренты, такие как hh.ru и SuperJob, действуют на более широком рынке поиска работы, но не обладают специализированным функционалом для студентов и стажеров. Их влияние на проект является косвенным через рыночную динамику.</w:t>
      </w:r>
    </w:p>
    <w:p w14:paraId="14491BA6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9" w:name="_Toc7162"/>
      <w:r>
        <w:rPr>
          <w:rFonts w:hint="default" w:ascii="Times New Roman" w:hAnsi="Times New Roman" w:cs="Times New Roman"/>
          <w:sz w:val="28"/>
          <w:szCs w:val="28"/>
        </w:rPr>
        <w:t>1.2.3 Формулирование миссии и SMART-цели</w:t>
      </w:r>
      <w:bookmarkEnd w:id="9"/>
    </w:p>
    <w:p w14:paraId="00D69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Следуя рекомендациям по разработке миссии из учебных материалов, сформулирована следующая миссия для проекта «StartWay»: «Помочь каждому студенту сделать первый шаг в карьере, соединяя талантливую молодежь с компаниями, готовыми инвестировать в будущее, и создавая прозрачную и эффективную экосистему для студенческой занятости в России» [1, С. 30-32].</w:t>
      </w:r>
    </w:p>
    <w:p w14:paraId="7A994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Данная миссия включает несколько ключевых компонентов. Предназначение заключается в решении проблемы студенческой занятости путем предоставления специализированной платформы, которая отвечает конкретным потребностям студентов, ищущих свой первый профессиональный опыт. Ценности охватывают прозрачность в списках вакансий и процессах подачи заявок, доступность для всех студентов независимо от их университета или местоположения, и подлинную поддержку карьерного развития. Дифференциация достигается через специализированную направленность на студентов и стажеров, что отличает платформу от общих сайтов по поиску работы. Видение состоит в том, чтобы стать основной платформой для студенческой занятости в России, признанной как студентами, так и работодателями в качестве основного ресурса для стажировок и начальных позиций.</w:t>
      </w:r>
    </w:p>
    <w:p w14:paraId="4A004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методологией SMART, подробно изложенной в материалах курса, цель проекта должна соответствовать пяти конкретным критериям [1, С. 23, 41-51]. Цель является конкретной: разработать и запустить веб-платформу и мобильное приложение для поиска стажировок и подработки для студентов с функционалом фильтрации вакансий, создания резюме и прямого общения с работодателями.</w:t>
      </w:r>
    </w:p>
    <w:p w14:paraId="6F24C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является измеримой: привлечь более 8 000 зарегистрированных пользователей-студентов и более 300 компаний-работодателей, разместивших не менее 500 вакансий в течение первых 12 месяцев работы. Эти метрики обеспечивают четкие цели для оценки успеха.</w:t>
      </w:r>
    </w:p>
    <w:p w14:paraId="7B587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является достижимой: реализация проекта командой из 5 специалистов, включая руководителя проекта, 2 разработчиков, дизайнера и маркетолога, с начальными инвестициями в размере 3 500 000 рублей с использованием гибкой методологии разработки. Данное распределение ресурсов является реалистичным для проекта такого масштаба.</w:t>
      </w:r>
    </w:p>
    <w:p w14:paraId="2D93A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является релевантной: она напрямую отвечает документально подтвержденной потребности 61% студентов, работающих во время учебы, и 64% работодателей, открытых к найму стажеров, а также согласуется с государственными приоритетами в области занятости молодежи [2, С. 18] [5, С. 24].</w:t>
      </w:r>
    </w:p>
    <w:p w14:paraId="58ED7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ограничена во времени: запуск проекта в течение 12 месяцев с 1 апреля 2026 года по 1 апреля 2027 года с ключевыми этапами в 3, 6 и 9 месяцев.</w:t>
      </w:r>
    </w:p>
    <w:p w14:paraId="579BA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Полная формулировка SMART-цели таким образом выглядит следующим образом: </w:t>
      </w:r>
    </w:p>
    <w:p w14:paraId="4B31D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«Разработать и запустить онлайн-сервис „StartWay“ (веб-платформу и мобильное приложение) для поиска стажировок и подработки для студентов в течение 12 месяцев (с 1 апреля 2026 года по 1 апреля 2027 года), привлечь не менее 8 000 зарегистрированных пользователей-студентов и 300 компаний-работодателей, разместивших минимум 500 вакансий, к концу первого года работы при начальных инвестициях 3 500 000 рублей и команде из 5 специалистов».</w:t>
      </w:r>
    </w:p>
    <w:p w14:paraId="5E60A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center"/>
        <w:textAlignment w:val="auto"/>
        <w:outlineLvl w:val="1"/>
        <w:rPr>
          <w:rStyle w:val="152"/>
          <w:rFonts w:hint="default" w:ascii="Times New Roman" w:hAnsi="Times New Roman" w:eastAsia="SimSun" w:cs="Times New Roman"/>
          <w:i w:val="0"/>
          <w:iCs w:val="0"/>
          <w:lang w:val="en-US"/>
        </w:rPr>
      </w:pPr>
      <w:bookmarkStart w:id="10" w:name="_Toc24229"/>
      <w:r>
        <w:rPr>
          <w:rStyle w:val="152"/>
          <w:rFonts w:hint="default" w:ascii="Times New Roman" w:hAnsi="Times New Roman" w:eastAsia="SimSun" w:cs="Times New Roman"/>
          <w:i w:val="0"/>
          <w:iCs w:val="0"/>
          <w:lang w:val="en-US"/>
        </w:rPr>
        <w:t>1.3 Структура целей</w:t>
      </w:r>
      <w:bookmarkEnd w:id="10"/>
    </w:p>
    <w:p w14:paraId="4600F3D1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1" w:name="_Toc27803"/>
      <w:r>
        <w:rPr>
          <w:rFonts w:hint="default" w:ascii="Times New Roman" w:hAnsi="Times New Roman" w:cs="Times New Roman"/>
          <w:sz w:val="28"/>
          <w:szCs w:val="28"/>
          <w:lang w:val="en-US"/>
        </w:rPr>
        <w:t>1.3.1 Дерево целей проекта</w:t>
      </w:r>
      <w:bookmarkEnd w:id="11"/>
    </w:p>
    <w:p w14:paraId="08B7F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Следуя технике построения дерева целей, описанной в материалах курса, построена иерархическая структура целей для проекта «StartWay» [1, С. 25-26, 125-127]. Дерево целей состоит из четырех уровней — от самой высокой стратегической цели до конкретных реализуемых подзадач.</w:t>
      </w:r>
    </w:p>
    <w:p w14:paraId="7BDE9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7885" cy="2502535"/>
            <wp:effectExtent l="0" t="0" r="571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7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 — Дерево целей проекта «StartWay»</w:t>
      </w:r>
    </w:p>
    <w:p w14:paraId="4151D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</w:p>
    <w:p w14:paraId="058D8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</w:p>
    <w:p w14:paraId="30D01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Уровень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Главная цель проекта</w:t>
      </w:r>
    </w:p>
    <w:p w14:paraId="6A45D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Главной целью проекта является разработка и запуск онлайн-сервиса «StartWay» для поиска стажировок и подработки для студентов в течение 12 месяцев, привлечение не менее 8 000 пользователей-студентов и 300 компаний-работодателей с 500 и более вакансиями к концу первого года работы.</w:t>
      </w:r>
    </w:p>
    <w:p w14:paraId="79A63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Уровень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Функциональные области проекта</w:t>
      </w:r>
    </w:p>
    <w:p w14:paraId="001BF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достижения главной цели необходимо скоординированное выполнение работ по пяти ключевым функциональным областям. Первая область — техническая разработка, которая включает создание веб-платформы и мобильного приложения с необходимым функционалом. Вторая область — работа с работодателями, направленная на привлечение компаний и наполнение базы вакансий. Третья область — работа со студентами, ориентированная на привлечение пользователей и их удержание на платформе. Четвертая область — маркетинг и продвижение, обеспечивающая формирование бренда и информирование целевой аудитории о сервисе. Пятая область — управление проектом, осуществляющая координацию работ, контроль сроков и бюджета.</w:t>
      </w:r>
    </w:p>
    <w:p w14:paraId="4C52C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Уровень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Задачи в рамках функциональных областей</w:t>
      </w:r>
    </w:p>
    <w:p w14:paraId="41530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рамках функциональной области технической разработки определены следующие задачи. На первом этапе необходимо провести анализ требований в течение первых двух месяцев, включая сбор и документирование функциональных и нефункциональных требований на основе пользовательских исследований и конкурентного анализа. Затем в течение месяца разрабатывается UI/UX-дизайн, создаются вайрфреймы, прототипы и визуальный дизайн для веб и мобильных платформ. Разработка веб-платформы запланирована на месяцы с третьего по шестой, в ходе которых создается ядро веб-приложения с функционалом frontend и backend. Параллельно с четвертого по восьмой месяц ведется разработка мобильного приложения для iOS и Android с ключевым функционалом. Тестирование и контроль качества проводятся с седьмого по десятый месяц, включая функциональное, юзабилити и нагрузочное тестирование. Завершающим этапом является развертывание на одиннадцатом месяце с деплоем на серверы и публикацией в магазинах приложений.</w:t>
      </w:r>
    </w:p>
    <w:p w14:paraId="617AE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 направлению работы с работодателями предусмотрено выполнение следующих задач. Разработка коммерческого предложения осуществляется в первые два месяца, включая создание ценностного предложения и ценообразования. Формирование списка компаний для outreach проводится со второго по третий месяц, в ходе которого идентифицируются и исследуются целевые компании по отраслям. Переговоры с 500 компаниями запланированы на месяцы с третьего по восьмой, включая проведение outreach и презентацию ценности платформы. Заключение договоров с 300 компаниями осуществляется с шестого по десятый месяц с формализацией партнерских отношений. Онбординг работодателей проводится с восьмого по двенадцатый месяц и включает помощь в создании профилей и размещении первых вакансий.</w:t>
      </w:r>
    </w:p>
    <w:p w14:paraId="0FA0C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области работы со студентами определены следующие задачи. Запуск таргетированной рекламы начинается с пятого месяца и включает настройку рекламных кампаний в социальных сетях и поисковых системах. Налаживание партнерств с университетами происходит с четвертого по восьмой месяц и включает установление отношений с центрами карьеры и студенческими организациями. Внедрение реферальной программы запланировано на шестой-седьмой месяцы, создается система поощрения за приглашение друзей. Разработка системы уведомлений осуществляется с четвертого по шестой месяц, создается функционал push и email уведомлений. Внедрение аналитики поведения пользователей проводится с восьмого по десятый месяц, настраивается отслеживание поведения пользователей и анализ.</w:t>
      </w:r>
    </w:p>
    <w:p w14:paraId="677F9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 направлению маркетинга и продвижения предусмотрены следующие задачи. Разработка брендинга проводится со второго по четвертый месяц и включает создание названия, логотипа, брендбука и тональности коммуникаций. Создание контент-маркетинговой стратегии осуществляется с третьего по двенадцатый месяц, включая ведение блога, создание гайдов и видеоконтента. Ведение социальных сетей также осуществляется с третьего по двенадцатый месяц с регулярной публикацией контента и проведением конкурсов. Проведение PR и мероприятий запланировано на месяцы с шестого по двенадцатый и включает взаимодействие со СМИ, участие в карьерных форумах и организацию вебинаров.</w:t>
      </w:r>
    </w:p>
    <w:p w14:paraId="5BF27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области управления проектом выполняются следующие задачи. Планирование осуществляется на протяжении всего проекта с первого по двенадцатый месяц, включая разработку детального плана, создание диаграммы Ганта и планирование спринтов. Контроль исполнения также ведется непрерывно через ежедневные стендапы, еженедельные встречи и ведение доски задач. Управление бюджетом осуществляется постоянно с контролем фактических расходов и оптимизацией затрат. Подготовка отчетности проводится на третьем, шестом, девятом и двенадцатом месяцах с презентацией результатов инвесторам.</w:t>
      </w:r>
    </w:p>
    <w:p w14:paraId="78AB7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Уровень 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Детальные подзадачи</w:t>
      </w:r>
    </w:p>
    <w:p w14:paraId="7E16E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Детальная проработка задач четвертого уровня представлена в табличной форме для каждой функциональной области, что обеспечивает наглядность и структурированность информации.</w:t>
      </w:r>
    </w:p>
    <w:p w14:paraId="694D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2 — Детальные подзадачи функциональной области «Техническая разработка»</w:t>
      </w:r>
    </w:p>
    <w:tbl>
      <w:tblPr>
        <w:tblW w:w="967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6578"/>
      </w:tblGrid>
      <w:tr w14:paraId="3D972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7951E8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Задача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2ED004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Подзадачи</w:t>
            </w:r>
          </w:p>
        </w:tc>
      </w:tr>
      <w:tr w14:paraId="6468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6F20B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1.1 Провести анализ требований (Месяцы 1-2)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80CE4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Проведение опроса 100+ студентов о потребностях; анализ 5 конкурентов (hh.ru, SuperJob, Habr Career); составление списка функциональных требований; составление списка нефункциональных требований; утверждение технического задания с заказчиком</w:t>
            </w:r>
          </w:p>
        </w:tc>
      </w:tr>
      <w:tr w14:paraId="57E7E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9978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1.2 Разработать UI/UX-дизайн (Месяцы 2-3)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5C15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Создание Customer Journey Map для студентов; создание Customer Journey Map для работодателей; разработка вайрфреймов для 20+ экранов; создание интерактивного прототипа в Figma; проведение юзабилити-тестирования прототипа на 10 пользователях; разработка дизайн-системы</w:t>
            </w:r>
          </w:p>
        </w:tc>
      </w:tr>
      <w:tr w14:paraId="5DAEF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1E628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1.3 Разработать веб-платформу (Месяцы 3-6)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F9CC8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Настройка репозитория и среды разработки; разработка backend на Python/Django; проектирование и создание базы данных PostgreSQL; разработка REST API; разработка frontend на React/Vue.js; реализация личного кабинета студента; реализация личного кабинета работодателя; внедрение системы авторизации и регистрации</w:t>
            </w:r>
          </w:p>
        </w:tc>
      </w:tr>
      <w:tr w14:paraId="2AE52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8E00F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1.4 Разработать мобильное приложение (Месяцы 4-8)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060F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iOS приложения (Swift); разработка Android приложения (Kotlin/Java); реализация экрана поиска вакансий; реализация экрана профиля; реализация экрана избранного; реализация системы push-уведомлений; обеспечение синхронизации с веб-версией</w:t>
            </w:r>
          </w:p>
        </w:tc>
      </w:tr>
      <w:tr w14:paraId="06B39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3570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1.5 Провести тестирование и контроль качества (Месяцы 7-10)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E8DA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тест-кейсов для всех модулей; проведение функционального тестирования; проведение интеграционного тестирования; проведение нагрузочного тестирования; проведение тестирования безопасности; исправление выявленных ошибок; проведение регрессионного тестирования</w:t>
            </w:r>
          </w:p>
        </w:tc>
      </w:tr>
      <w:tr w14:paraId="782F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9BAC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1.6 Осуществить развертывание (Месяц 11)</w:t>
            </w:r>
          </w:p>
        </w:tc>
        <w:tc>
          <w:tcPr>
            <w:tcW w:w="65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563E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Настройка production-сервера; настройка CI/CD pipeline; развертывание базы данных на production; деплой backend и frontend; публикация приложения в App Store; публикация приложения в Google Play; настройка мониторинга и логирования</w:t>
            </w:r>
          </w:p>
        </w:tc>
      </w:tr>
    </w:tbl>
    <w:p w14:paraId="49703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F12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3 — Детальные подзадачи функциональной области «Работа с работодателями»</w:t>
      </w:r>
    </w:p>
    <w:tbl>
      <w:tblPr>
        <w:tblW w:w="963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6550"/>
      </w:tblGrid>
      <w:tr w14:paraId="5A59E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10CF746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Задача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4A7C29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Подзадачи</w:t>
            </w:r>
          </w:p>
        </w:tc>
      </w:tr>
      <w:tr w14:paraId="60CA5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33C67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2.1 Разработать коммерческое предложение (Месяцы 1-2)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85FD7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Исследование цен конкурентов для работодателей; разработка 3 тарифных планов; создание презентации для компаний; подготовка коммерческих писем; разработка договора оферты</w:t>
            </w:r>
          </w:p>
        </w:tc>
      </w:tr>
      <w:tr w14:paraId="2B4C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7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32F6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2.2 Сформировать список компаний для outreach (Месяцы 2-3)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249C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Сбор базы из 1000+ потенциальных компаний; сегментация по отраслям; сегментация по размеру бизнеса; поиск контактов HR-директоров и руководителей; проверка актуальности контактов</w:t>
            </w:r>
          </w:p>
        </w:tc>
      </w:tr>
      <w:tr w14:paraId="06D7D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7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40F8F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2.3 Провести переговоры с 500 компаниями (Месяцы 3-8)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F70D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Совершение 1500+ холодных звонков; отправка 2000+ email-рассылок; проведение 300+ онлайн-презентаций; сбор обратной связи о платформе; обработка возражений; подготовка индивидуальных предложений для ключевых клиентов</w:t>
            </w:r>
          </w:p>
        </w:tc>
      </w:tr>
      <w:tr w14:paraId="39B08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29109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2.4 Заключить договоры с 300 компаниями (Месяцы 6-10)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707F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Подготовка договоров для каждой компании; согласование условий с юристами компаний; подписание договоров; выставление счетов; контроль оплаты</w:t>
            </w:r>
          </w:p>
        </w:tc>
      </w:tr>
      <w:tr w14:paraId="5BE7A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atLeast"/>
        </w:trPr>
        <w:tc>
          <w:tcPr>
            <w:tcW w:w="30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5E69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2.5 Провести онбординг работодателей (Месяцы 8-12)</w:t>
            </w:r>
          </w:p>
        </w:tc>
        <w:tc>
          <w:tcPr>
            <w:tcW w:w="6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7169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Создание 300+ профилей компаний; помощь в написании первых вакансий; проверка качества 500+ вакансий; проведение 50+ обучающих вебинаров для HR; сбор отзывов о первой публикации; разработка инструкций и FAQ для работодателей</w:t>
            </w:r>
          </w:p>
        </w:tc>
      </w:tr>
    </w:tbl>
    <w:p w14:paraId="36293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D47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4 — Детальные подзадачи функциональной области «Работа со студентами»</w:t>
      </w:r>
    </w:p>
    <w:tbl>
      <w:tblPr>
        <w:tblW w:w="962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6540"/>
      </w:tblGrid>
      <w:tr w14:paraId="08787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6F00F59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Задача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08B753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Подзадачи</w:t>
            </w:r>
          </w:p>
        </w:tc>
      </w:tr>
      <w:tr w14:paraId="3E437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97AE8A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3.1 Запустить таргетированную рекламу (Месяц 5+)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CBD738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Настройка рекламного кабинета ВК; настройка Yandex.Direct; создание 10+ креативов для разных сегментов; настройка таргетинга на студентов 18-25 лет; установка бюджета 300 000 руб./мес; анализ CTR и конверсии; еженедельная оптимизация рекламных кампаний</w:t>
            </w:r>
          </w:p>
        </w:tc>
      </w:tr>
      <w:tr w14:paraId="15A28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197B1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3.2 Наладить партнерства с университетами (Месяцы 4-8)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7F38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Составление списка 50+ вузов; связь с центрами карьеры; проведение 30+ встреч с представителями вузов; подписание соглашений о сотрудничестве с 20+ вузами; участие в 10+ днях карьеры; размещение информации о платформе в вузовских рассылках</w:t>
            </w:r>
          </w:p>
        </w:tc>
      </w:tr>
      <w:tr w14:paraId="54DE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BFA2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3.3 Внедрить реферальную программу (Месяцы 6-7)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006A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механики реферальной программы; определение бонусов; реализация реферальных ссылок в профиле; запуск промо-кампании среди первых пользователей; отслеживание количества приглашенных друзей</w:t>
            </w:r>
          </w:p>
        </w:tc>
      </w:tr>
      <w:tr w14:paraId="062DB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A07351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3.4 Разработать систему уведомлений (Месяцы 4-6)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32A9D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шаблонов push-уведомлений; настройка триггеров; разработка шаблонов email-рассылок; настройка интеграции с email-сервисом; проведение A/B тестирования текстов уведомлений</w:t>
            </w:r>
          </w:p>
        </w:tc>
      </w:tr>
      <w:tr w14:paraId="6F163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571CC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3.5 Внедрить аналитику поведения пользователей (Месяцы 8-10)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206D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Настройка Yandex.Metrica / Google Analytics; настройка отслеживания событий в мобильном приложении; построение воронки конверсии; расчет retention; выявление проблемных мест в UX; подготовка отчета с рекомендациями</w:t>
            </w:r>
          </w:p>
        </w:tc>
      </w:tr>
    </w:tbl>
    <w:p w14:paraId="16523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437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Таблица 5 — Детальные подзадачи функциональной области «Маркетинг и продвижение»</w:t>
      </w:r>
    </w:p>
    <w:tbl>
      <w:tblPr>
        <w:tblW w:w="962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6540"/>
      </w:tblGrid>
      <w:tr w14:paraId="05770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55949A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Задача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4332453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Подзадачи</w:t>
            </w:r>
          </w:p>
        </w:tc>
      </w:tr>
      <w:tr w14:paraId="2C29B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BDD6F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4.1 Разработать брендинг (Месяцы 2-4)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B8C0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названия; разработка логотипа (3+ варианта); выбор фирменных цветов и шрифтов; создание брендбука; разработка слогана и тональности коммуникаций</w:t>
            </w:r>
          </w:p>
        </w:tc>
      </w:tr>
      <w:tr w14:paraId="60D58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3332AF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4.2 Создать контент-маркетинговую стратегию (Месяцы 3-12)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D21C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Создание блога на платформе; написание 20+ статей; создание 10+ гайдов для студентов; съемка 5+ видео-интервью с успешными стажерами; запуск подкаста о карьере; оптимизация контента под SEO</w:t>
            </w:r>
          </w:p>
        </w:tc>
      </w:tr>
      <w:tr w14:paraId="76920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071C4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4.3 Вести социальные сети (Месяцы 3-12)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63503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Создание паблика ВКонтакте; создание Telegram-канала; публикация постов 3-4 раза в неделю; проведение 10+ конкурсов и розыгрышей; достижение 10 000+ подписчиков</w:t>
            </w:r>
          </w:p>
        </w:tc>
      </w:tr>
      <w:tr w14:paraId="5C54F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777AB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4.4 Провести PR и мероприятия (Месяцы 6-12)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9884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Написание и рассылка пресс-релизов в СМИ; договоренности о публикациях в 10+ студенческих СМИ; организация онлайн-вебинара; участие в 5+ карьерных форумах; выступление на 3+ конференциях; создание партнерств со студенческими клубами</w:t>
            </w:r>
          </w:p>
        </w:tc>
      </w:tr>
    </w:tbl>
    <w:p w14:paraId="0C80C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290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Таблица 6 — Детальные подзадачи функциональной области «Управление проектом»</w:t>
      </w:r>
    </w:p>
    <w:tbl>
      <w:tblPr>
        <w:tblW w:w="962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6540"/>
      </w:tblGrid>
      <w:tr w14:paraId="17DCC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1C7EBA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Задача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 w:themeFill="background2"/>
            <w:vAlign w:val="center"/>
          </w:tcPr>
          <w:p w14:paraId="76475A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Подзадачи</w:t>
            </w:r>
          </w:p>
        </w:tc>
      </w:tr>
      <w:tr w14:paraId="0E6E8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2388B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5.1 Осуществлять планирование (Месяцы 1-12)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18B9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Разработка детального плана проекта; создание диаграммы Ганта; распределение ролей в команде; определение ключевых вех; планирование спринтов; ежемесячная актуализация плана</w:t>
            </w:r>
          </w:p>
        </w:tc>
      </w:tr>
      <w:tr w14:paraId="19842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4B23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5.2 Контролировать исполнение (Месяцы 1-12)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AD6D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Проведение ежедневных стендапов; проведение еженедельных встреч команды; ведение доски задач; отслеживание выполнения задач по спринтам; контроль достижения KPI</w:t>
            </w:r>
          </w:p>
        </w:tc>
      </w:tr>
      <w:tr w14:paraId="4F7C8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16AA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5.3 Управлять бюджетом (Месяцы 1-12)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9966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Составление бюджета проекта; распределение бюджета по статьям; контроль фактических расходов; оптимизация затрат при необходимости; ежемесячное формирование отчета по бюджету</w:t>
            </w:r>
          </w:p>
        </w:tc>
      </w:tr>
      <w:tr w14:paraId="6D68D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30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E3E29B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5.4 Готовить отчетность (Месяцы 3,6,9,12)</w:t>
            </w:r>
          </w:p>
        </w:tc>
        <w:tc>
          <w:tcPr>
            <w:tcW w:w="6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9A11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Подготовка отчета за 3 месяца; подготовка отчета за 6 месяцев; подготовка отчета за 9 месяцев; подготовка финального отчета; презентация результатов инвесторам</w:t>
            </w:r>
          </w:p>
        </w:tc>
      </w:tr>
    </w:tbl>
    <w:p w14:paraId="3E8F8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2EF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Данная структура дерева целей обеспечивает иерархическую связь «средства-цели», где выполнение подзадач четвертого уровня обеспечивает достижение задач третьего уровня, выполнение задач третьего уровня обеспечивает достижение целей функциональных областей второго уровня, а достижение всех целей функциональных областей приводит к реализации глобальной цели первого уровня. Такая структура гарантирует, что все виды деятельности в рамках проекта согласованы с конечной целью, и что прогресс может отслеживаться на различных уровнях детализации.</w:t>
      </w:r>
    </w:p>
    <w:p w14:paraId="4A679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E77F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48770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2" w:name="_Toc9730"/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литературы</w:t>
      </w:r>
      <w:bookmarkEnd w:id="12"/>
    </w:p>
    <w:p w14:paraId="3CD35C1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Армашова-Тельник, Г.С. Управление проектами в ИТ-сфере: методические и практические материалы / Г.С. Армашова-Тельник. — СПб., 2026. — 48 с.</w:t>
      </w:r>
    </w:p>
    <w:p w14:paraId="4A8D96A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СенатИнформ. В России каждый второй студент работает во время учёбы [Электронный ресурс] / СенатИнформ. 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"https://senatinform.ru/news/v_rossii_kazhdyy_vtoroy_student_rabotaet_vo_vremya_uchyeby/"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https://senatinform.ru/news/v_rossii_kazhdyy_vtoroy_student_rabotaet_vo_vremya_uchyeby/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0FED2B3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Россия — страна возможностей. Проект «Профразвитие» и ANCOR презентуют крупнейшее исследование о ра</w:t>
      </w:r>
      <w:bookmarkStart w:id="20" w:name="_GoBack"/>
      <w:bookmarkEnd w:id="20"/>
      <w:r>
        <w:rPr>
          <w:rFonts w:hint="default" w:ascii="Times New Roman" w:hAnsi="Times New Roman" w:cs="Times New Roman"/>
          <w:sz w:val="28"/>
          <w:szCs w:val="28"/>
          <w:lang w:val="ru-RU"/>
        </w:rPr>
        <w:t>боте молодежи в России [Электронный ресурс] / Россия — страна возможностей. 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"https://rsv.ru/news/597/8196/"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https://rsv.ru/news/597/8196/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49EC295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Известия. Работодатели стали чаще искать сотрудников с помощью стажировок [Электронный ресурс] / Известия. — 2024.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"https://iz.ru/1726286/2024-07-12/rabotodateli-stali-chashche-iskat-sotrudnikov-s-pomoshchiu-stazhirovok"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https://iz.ru/1726286/2024-07-12/rabotodateli-stali-chashche-iskat-sotrudnikov-s-pomoshchiu-stazhirovok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3FAD7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"https://retail.ru/"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Retail.ru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 SuperJob: 2 из 3 работодателей принимают на стажировки молодых специалистов [Электронный ресурс] /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"https://retail.ru/"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Retail.ru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 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"https://www.retail.ru/news/superjob-2-iz-3-rabotodateley-prinimayut-na-stazhirovki-molodykh-spetsialistov-19-maya-2023-228837/"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https://www.retail.ru/news/superjob-2-iz-3-rabotodateley-prinimayut-na-stazhirovki-molodykh-spetsialistov-19-maya-2023-228837/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6B2121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Коммерсантъ. На старт, внимание — в карьерный путь! [Электронный ресурс] / Коммерсантъ. — 2024.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"https://www.kommersant.ru/doc/6663120"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https://www.kommersant.ru/doc/6663120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C9A2CB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Коммерсантъ. Найм молодых специалистов вырос на 54% [Электронный ресурс] / Коммерсантъ. 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"https://www.kommersant.ru/doc/8079851"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https://www.kommersant.ru/doc/8079851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3D1D355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CNews. Студенты подали 22,7 тыс. заявок на летние стажировки в Сбербанке [Электронный ресурс] / CNews. 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"https://www.cnews.ru/news/line/2025-06-20_studenty_podali_227_tyszayavok"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https://www.cnews.ru/news/line/2025-06-20_studenty_podali_227_tyszayavok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0391092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СенатИнформ. Число российских компаний, готовых нанимать подростков, выросло в три раза [Электронный ресурс] / СенатИнформ. — 2025. — Режим доступа: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"https://www.senatinform.ru/news/chislo_rossiyskikh_kompaniy_gotovykh_nanimat_podrostkov_vyroslo_v_tri_raza/"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https://www.senatinform.ru/news/chislo_rossiyskikh_kompaniy_gotovykh_nanimat_podrostkov_vyroslo_v_tri_raza/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42B13BB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Материалы по курсу «Управление проектами в ИТ-сфере» (лайт-версия). — 2026. — 64 с.</w:t>
      </w:r>
    </w:p>
    <w:p w14:paraId="2D5A1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C4E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180CF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1. Концепция проекта, цели и структура (Участник 1)</w:t>
      </w:r>
    </w:p>
    <w:p w14:paraId="5ECEE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3" w:name="_Toc24674"/>
      <w:r>
        <w:rPr>
          <w:rFonts w:hint="default" w:ascii="Times New Roman" w:hAnsi="Times New Roman" w:cs="Times New Roman"/>
          <w:sz w:val="28"/>
          <w:szCs w:val="28"/>
        </w:rPr>
        <w:t>1.1 Выбор и обоснование направления проекта</w:t>
      </w:r>
      <w:bookmarkEnd w:id="13"/>
    </w:p>
    <w:p w14:paraId="79991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- 1.1.1 Конкретное направление</w:t>
      </w:r>
    </w:p>
    <w:p w14:paraId="7DFBF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- 1.1.2 Анализ целевой аудитории</w:t>
      </w:r>
    </w:p>
    <w:p w14:paraId="25FCF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- 1.1.3 Обоснование актуальности со статистическими данными</w:t>
      </w:r>
    </w:p>
    <w:p w14:paraId="6F0AB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4" w:name="_Toc3128"/>
      <w:r>
        <w:rPr>
          <w:rFonts w:hint="default" w:ascii="Times New Roman" w:hAnsi="Times New Roman" w:cs="Times New Roman"/>
          <w:sz w:val="28"/>
          <w:szCs w:val="28"/>
        </w:rPr>
        <w:t>1.2 Формирование идеи и целей проекта</w:t>
      </w:r>
      <w:bookmarkEnd w:id="14"/>
    </w:p>
    <w:p w14:paraId="67C90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- 1.2.1 Интеллект-карта проекта</w:t>
      </w:r>
    </w:p>
    <w:p w14:paraId="11743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- 1.2.2 Состав и характеристика стейкхолдеров</w:t>
      </w:r>
    </w:p>
    <w:p w14:paraId="549E1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- 1.2.3 Формулирование миссии и SMART-цели</w:t>
      </w:r>
    </w:p>
    <w:p w14:paraId="2D304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5" w:name="_Toc3017"/>
      <w:r>
        <w:rPr>
          <w:rFonts w:hint="default" w:ascii="Times New Roman" w:hAnsi="Times New Roman" w:cs="Times New Roman"/>
          <w:sz w:val="28"/>
          <w:szCs w:val="28"/>
        </w:rPr>
        <w:t>1.3 Структура целей</w:t>
      </w:r>
      <w:bookmarkEnd w:id="15"/>
    </w:p>
    <w:p w14:paraId="2EE22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- 1.3.1 Дерево целей проекта</w:t>
      </w:r>
    </w:p>
    <w:p w14:paraId="16FCB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2. Аналитическая часть проекта (Участник 2)</w:t>
      </w:r>
    </w:p>
    <w:p w14:paraId="39685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6" w:name="_Toc2061"/>
      <w:r>
        <w:rPr>
          <w:rFonts w:hint="default" w:ascii="Times New Roman" w:hAnsi="Times New Roman" w:cs="Times New Roman"/>
          <w:sz w:val="28"/>
          <w:szCs w:val="28"/>
        </w:rPr>
        <w:t>2.1 Анализ среды проекта</w:t>
      </w:r>
      <w:bookmarkEnd w:id="16"/>
    </w:p>
    <w:p w14:paraId="72446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- 2.1.1 PEST-анализ внешних факторов</w:t>
      </w:r>
    </w:p>
    <w:p w14:paraId="500E9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- 2.1.2 SWOT-анализ внутренних и внешних факторов</w:t>
      </w:r>
    </w:p>
    <w:p w14:paraId="2A3D4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- 2.1.3 Выводы по результатам анализа</w:t>
      </w:r>
    </w:p>
    <w:p w14:paraId="7E0A0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7" w:name="_Toc21966"/>
      <w:r>
        <w:rPr>
          <w:rFonts w:hint="default" w:ascii="Times New Roman" w:hAnsi="Times New Roman" w:cs="Times New Roman"/>
          <w:sz w:val="28"/>
          <w:szCs w:val="28"/>
        </w:rPr>
        <w:t>2.2 Анализ факторов влияния</w:t>
      </w:r>
      <w:bookmarkEnd w:id="17"/>
    </w:p>
    <w:p w14:paraId="727F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- 2.2.1 Диаграмма Исикавы факторов, влияющих на достижение цели</w:t>
      </w:r>
    </w:p>
    <w:p w14:paraId="22384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8" w:name="_Toc19089"/>
      <w:r>
        <w:rPr>
          <w:rFonts w:hint="default" w:ascii="Times New Roman" w:hAnsi="Times New Roman" w:cs="Times New Roman"/>
          <w:sz w:val="28"/>
          <w:szCs w:val="28"/>
        </w:rPr>
        <w:t>2.3 Жизненный цикл проекта</w:t>
      </w:r>
      <w:bookmarkEnd w:id="18"/>
    </w:p>
    <w:p w14:paraId="2129F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- 2.3.1 График жизненного цикла и описание этапов</w:t>
      </w:r>
    </w:p>
    <w:p w14:paraId="7032A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9" w:name="_Toc8484"/>
      <w:r>
        <w:rPr>
          <w:rFonts w:hint="default" w:ascii="Times New Roman" w:hAnsi="Times New Roman" w:cs="Times New Roman"/>
          <w:sz w:val="28"/>
          <w:szCs w:val="28"/>
        </w:rPr>
        <w:t>2.4 Анализ рисков</w:t>
      </w:r>
      <w:bookmarkEnd w:id="19"/>
    </w:p>
    <w:p w14:paraId="46C0B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- 2.4.1 Матрица рисков с превентивными мерами и способами минимизации</w:t>
      </w:r>
    </w:p>
    <w:p w14:paraId="46D44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3. Планирование и экономическая часть (Участник 3)</w:t>
      </w:r>
    </w:p>
    <w:p w14:paraId="72E08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Планирование проекта</w:t>
      </w:r>
    </w:p>
    <w:p w14:paraId="5BAC0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- 3.1.1 Диаграмма Ганта</w:t>
      </w:r>
    </w:p>
    <w:p w14:paraId="2C2FA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- 3.1.2 Бизнес-модель Остервальдера</w:t>
      </w:r>
    </w:p>
    <w:p w14:paraId="34DD1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- 3.1.3 Сетевой график с расчетами и схемой</w:t>
      </w:r>
    </w:p>
    <w:p w14:paraId="2F308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Финансовая модель</w:t>
      </w:r>
    </w:p>
    <w:p w14:paraId="73869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- 3.2.1 Формулы финансовой оценки с пояснениями</w:t>
      </w:r>
    </w:p>
    <w:p w14:paraId="18B57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- 3.2.2 Расчет точки безубыточности и график</w:t>
      </w:r>
    </w:p>
    <w:p w14:paraId="2828B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Выводы о целесообразности реализации проекта</w:t>
      </w:r>
    </w:p>
    <w:p w14:paraId="09439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5E5BC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литературы</w:t>
      </w:r>
    </w:p>
    <w:p w14:paraId="34398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2E991B3F"/>
    <w:multiLevelType w:val="singleLevel"/>
    <w:tmpl w:val="2E991B3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83EA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D07F96"/>
    <w:rsid w:val="3D2E204C"/>
    <w:rsid w:val="7A28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link w:val="15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  <w:style w:type="character" w:customStyle="1" w:styleId="152">
    <w:name w:val="Заголовок 2 Char"/>
    <w:link w:val="3"/>
    <w:uiPriority w:val="0"/>
    <w:rPr>
      <w:rFonts w:ascii="Arial" w:hAnsi="Arial" w:cs="Arial"/>
      <w:b/>
      <w:bCs/>
      <w:i/>
      <w:iCs/>
      <w:kern w:val="0"/>
      <w:sz w:val="28"/>
      <w:szCs w:val="28"/>
    </w:rPr>
  </w:style>
  <w:style w:type="paragraph" w:customStyle="1" w:styleId="15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4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55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2026-03-06T10:10:00Z</dcterms:created>
  <dc:creator>Lieson Mwale</dc:creator>
  <cp:lastModifiedBy>Lieson Mwale</cp:lastModifiedBy>
  <dcterms:modified xsi:type="dcterms:W3CDTF">2026-03-06T11:13:44Z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0357232562C1496EB01E162DA05D5DEC_11</vt:lpwstr>
  </property>
</Properties>
</file>