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BÁO CÁO PHÂN TÍCH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4B"/>
                <w:sz w:val="28"/>
                <w:szCs w:val="28"/>
              </w:rPr>
              <w:t xml:space="preserve">THỊ TRƯỜNG CHỨNG KHOÁN VN30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C4D8"/>
                <w:sz w:val="22"/>
                <w:szCs w:val="22"/>
              </w:rPr>
              <w:t xml:space="preserve">Giai đoạn 2020–2025: Từ COVID đến Kỳ vọng Nâng hạng FTSE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FA8C0"/>
                <w:sz w:val="19"/>
                <w:szCs w:val="19"/>
              </w:rPr>
              <w:t xml:space="preserve">[Họ và Tên] | Data Analyst Candidate | Tháng 4/2025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8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34"/>
          <w:szCs w:val="34"/>
        </w:rPr>
        <w:t xml:space="preserve">1. Tóm tắt điều hành</w:t>
      </w:r>
    </w:p>
    <w:p>
      <w:pPr>
        <w:pBdr>
          <w:bottom w:val="single" w:color="003087" w:sz="8" w:space="4"/>
        </w:pBdr>
        <w:spacing w:after="18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7 điểm nhấn chính (2020→2025)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① COVID Crash T3/2020: VN-Index -35% trong 7 tuần — nhanh hơn Khủng hoảng 2008 (-54%, 18 tháng)
② COVID Recovery 2020–2021: Phục hồi +90% từ đáy, thanh khoản kỷ lục 20,000+ tỷ/phiên
③ TPDN Crisis 2022: VN-Index mất 32.8% — cú sốc pháp lý từ Tân Hoàng Minh &amp; Vạn Thịnh Phát
④ Rebound 2023–2024: NHNN giảm LS 4 lần (-150bp); VN-Index hồi phục +47.8% từ đáy T11/2022
⑤ Sector rotation rõ rệt: BĐS → Ngân hàng → Chứng khoán → IT qua các giai đoạn
⑥ FPT là mã defensive tốt nhất: Sharpe cao nhất VN30, correlation thấp với VN-Index
⑦ YTD 2025: Kỳ vọng FTSE nâng hạng thúc đẩy dòng vốn ngoại — khối ngoại mua ròng +12,400 tỷ 2024</w:t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1400"/>
        <w:gridCol w:w="1680"/>
        <w:gridCol w:w="1280"/>
      </w:tblGrid>
      <w:tr>
        <w:trPr>
          <w:tblHeader/>
        </w:trP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Chỉ tiêu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COVID Crash
(Q1/2020)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COVID Recovery
(Q2/2020–2021)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TPDN Crisis
(2022)</w:t>
            </w:r>
          </w:p>
        </w:tc>
        <w:tc>
          <w:tcPr>
            <w:tcW w:type="dxa" w:w="16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Rebound
(2023–2024)</w:t>
            </w:r>
          </w:p>
        </w:tc>
        <w:tc>
          <w:tcPr>
            <w:tcW w:type="dxa" w:w="12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YTD 2025*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VN-Index Return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-35%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+90%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-32.8%</w:t>
            </w:r>
          </w:p>
        </w:tc>
        <w:tc>
          <w:tcPr>
            <w:tcW w:type="dxa" w:w="16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+23%</w:t>
            </w:r>
          </w:p>
        </w:tc>
        <w:tc>
          <w:tcPr>
            <w:tcW w:type="dxa" w:w="12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+3.1%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HNX Return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-38%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+85%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-37.2%</w:t>
            </w:r>
          </w:p>
        </w:tc>
        <w:tc>
          <w:tcPr>
            <w:tcW w:type="dxa" w:w="16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+19%</w:t>
            </w:r>
          </w:p>
        </w:tc>
        <w:tc>
          <w:tcPr>
            <w:tcW w:type="dxa" w:w="12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+2.4%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Avg Volatility (ann.)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45.2%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28.1%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34.2%</w:t>
            </w:r>
          </w:p>
        </w:tc>
        <w:tc>
          <w:tcPr>
            <w:tcW w:type="dxa" w:w="16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20.8%</w:t>
            </w:r>
          </w:p>
        </w:tc>
        <w:tc>
          <w:tcPr>
            <w:tcW w:type="dxa" w:w="12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17.8%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TKBQ (tỷ VND/phiên)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8,000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20,000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12,000</w:t>
            </w:r>
          </w:p>
        </w:tc>
        <w:tc>
          <w:tcPr>
            <w:tcW w:type="dxa" w:w="16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16,000</w:t>
            </w:r>
          </w:p>
        </w:tc>
        <w:tc>
          <w:tcPr>
            <w:tcW w:type="dxa" w:w="12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14,500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Best sector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Tiện ích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Chứng khoán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Năng lượng</w:t>
            </w:r>
          </w:p>
        </w:tc>
        <w:tc>
          <w:tcPr>
            <w:tcW w:type="dxa" w:w="16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CK + IT</w:t>
            </w:r>
          </w:p>
        </w:tc>
        <w:tc>
          <w:tcPr>
            <w:tcW w:type="dxa" w:w="12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 + CK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Worst sector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Hàng không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Năng lượng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Bất động sản</w:t>
            </w:r>
          </w:p>
        </w:tc>
        <w:tc>
          <w:tcPr>
            <w:tcW w:type="dxa" w:w="16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BĐS</w:t>
            </w:r>
          </w:p>
        </w:tc>
        <w:tc>
          <w:tcPr>
            <w:tcW w:type="dxa" w:w="12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BĐS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370"/>
          <w:sz w:val="22"/>
          <w:szCs w:val="22"/>
        </w:rPr>
        <w:t xml:space="preserve">(*) Ước tính đến 31/03/2025</w:t>
      </w:r>
    </w:p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pacing w:after="8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34"/>
          <w:szCs w:val="34"/>
        </w:rPr>
        <w:t xml:space="preserve">2. Diễn biến thị trường — 5 giai đoạn</w:t>
      </w:r>
    </w:p>
    <w:p>
      <w:pPr>
        <w:pBdr>
          <w:bottom w:val="single" w:color="003087" w:sz="8" w:space="4"/>
        </w:pBdr>
        <w:spacing w:after="180" w:before="60"/>
        <w:jc w:val="left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6370"/>
          <w:sz w:val="22"/>
          <w:szCs w:val="22"/>
        </w:rPr>
        <w:t xml:space="preserve">[Chèn biểu đồ 01_vnindex.png từ Python notebook — VN-Index + Volume + Volatility, 5 phase shading]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6"/>
          <w:szCs w:val="26"/>
        </w:rPr>
        <w:t xml:space="preserve">Giai đoạn 1 — COVID Crash (T1–T3/2020)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Phân tích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VN-Index giảm từ 975 → 649 điểm (−33.5%) trong 40 ngày giao dịch — lần đầu tiên VN-Index kết phiên ở 649 điểm (25/03/2020). Tốc độ giảm nhanh nhất trong lịch sử TTCK Việt Nam, vượt cả Khủng hoảng 2008 về tốc độ. Volatility đạt đỉnh 54% annualized. Phân tích hành vi: panic selling dominate, P/E VN30 rớt về 9–10x — mức "rẻ lịch sử".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6"/>
          <w:szCs w:val="26"/>
        </w:rPr>
        <w:t xml:space="preserve">Giai đoạn 2 — COVID Recovery (T4/2020–2021)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Phân tích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VN-Index tăng từ 649 → 1,500 điểm (+130.9% tính từ đáy), vượt mọi kỷ lục lịch sử. Liquidity bùng nổ: lượng tài khoản mở mới tăng 250% so với 2019 (F0 investors). NHNN duy trì lãi suất thấp, dòng tiền rút khỏi tiết kiệm đổ vào CK. Sector leaders: Chứng khoán (+180%), BĐS (+120%), Bán lẻ (+90%). Rủi ro tiềm ẩn: định giá P/E toàn thị trường leo lên 20x — cao nhất 5 năm.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6"/>
          <w:szCs w:val="26"/>
        </w:rPr>
        <w:t xml:space="preserve">Giai đoạn 3 — TPDN Crisis (2022)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Phân tích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VN-Index giảm từ 1,500 → 873 điểm (−41.8% từ đỉnh). Hai cú sốc pháp lý định hình năm 2022: (1) Tân Hoàng Minh bị khởi tố T4/2022 → thị trường TPDN 1.5 triệu tỷ VND đóng băng; (2) Vạn Thịnh Phát bị bắt T10/2022 → tín dụng ngân hàng siết chặt, hàng nghìn tỷ margin call. Khối ngoại bán ròng −28,400 tỷ VND cả năm. Volatility kéo dài ở 30–38% annualized suốt 9 tháng.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6"/>
          <w:szCs w:val="26"/>
        </w:rPr>
        <w:t xml:space="preserve">Giai đoạn 4 — Rebound (T12/2022–2024)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Phân tích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VN-Index phục hồi từ 873 → 1,280 điểm (+46.6%). NHNN giảm lãi suất 4 lần trong 2023 (-150bp). Gói hỗ trợ TPDN và nghị định 08/2023 giải cứu thị trường trái phiếu. Năm 2024: FED giảm lãi suất 3 lần, dòng vốn quay lại EM. Khối ngoại mua ròng +12,400 tỷ VND. Rotation rõ rệt: NH → CK → IT. Volatility hạ về 18–22% — môi trường "risk-on" phục hồi.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6"/>
          <w:szCs w:val="26"/>
        </w:rPr>
        <w:t xml:space="preserve">Giai đoạn 5 — YTD 2025 (kỳ vọng FTSE)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Phân tích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Việt Nam nộp hồ sơ FTSE Emerging Markets T9/2024. Kỳ vọng nâng hạng kéo dòng vốn FII vào — ước tính 1.5–2 tỷ USD passive inflows nếu được chấp thuận. YTD 2025 (đến T3/2025): VN-Index +3.1%, IT và CK dẫn đầu. Rủi ro: nâng hạng chậm hơn kỳ vọng, áp lực tỷ giá USD/VND, nợ xấu BĐS chưa xử lý triệt để.</w:t>
            </w:r>
          </w:p>
        </w:tc>
      </w:tr>
    </w:tbl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pacing w:after="8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34"/>
          <w:szCs w:val="34"/>
        </w:rPr>
        <w:t xml:space="preserve">3. Phân tích hiệu suất ngành — Sector Rotation</w:t>
      </w:r>
    </w:p>
    <w:p>
      <w:pPr>
        <w:pBdr>
          <w:bottom w:val="single" w:color="003087" w:sz="8" w:space="4"/>
        </w:pBdr>
        <w:spacing w:after="180" w:before="60"/>
        <w:jc w:val="left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6370"/>
          <w:sz w:val="22"/>
          <w:szCs w:val="22"/>
        </w:rPr>
        <w:t xml:space="preserve">[Chèn biểu đồ 02_sector_heatmap.png — Heatmap ngành × năm]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800"/>
        <w:gridCol w:w="800"/>
        <w:gridCol w:w="800"/>
        <w:gridCol w:w="9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Ngành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YTD'25*</w:t>
            </w:r>
          </w:p>
        </w:tc>
        <w:tc>
          <w:tcPr>
            <w:tcW w:type="dxa" w:w="24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Nhận định</w:t>
            </w:r>
          </w:p>
        </w:tc>
      </w:tr>
      <w:tr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Chứng khoán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-20%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+180%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-42%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+32%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+39%</w:t>
            </w:r>
          </w:p>
        </w:tc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+8%</w:t>
            </w:r>
          </w:p>
        </w:tc>
        <w:tc>
          <w:tcPr>
            <w:tcW w:type="dxa" w:w="24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🟢 High beta — outperform mạnh khi thị trường lên</w:t>
            </w:r>
          </w:p>
        </w:tc>
      </w:tr>
      <w:tr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Ngân hàng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-22%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+45%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-28%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+19%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+22%</w:t>
            </w:r>
          </w:p>
        </w:tc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+4%</w:t>
            </w:r>
          </w:p>
        </w:tc>
        <w:tc>
          <w:tcPr>
            <w:tcW w:type="dxa" w:w="24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🟢 Ổn định — CAGR tốt, hưởng lợi từ giảm LS</w:t>
            </w:r>
          </w:p>
        </w:tc>
      </w:tr>
      <w:tr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Công nghệ (IT)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-12%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+60%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-15%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+28%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+35%</w:t>
            </w:r>
          </w:p>
        </w:tc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+7%</w:t>
            </w:r>
          </w:p>
        </w:tc>
        <w:tc>
          <w:tcPr>
            <w:tcW w:type="dxa" w:w="24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🟢 Defensive + Growth — correlation thấp nhất</w:t>
            </w:r>
          </w:p>
        </w:tc>
      </w:tr>
      <w:tr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Năng lượng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-8%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+25%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-8%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+6%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+12%</w:t>
            </w:r>
          </w:p>
        </w:tc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+2%</w:t>
            </w:r>
          </w:p>
        </w:tc>
        <w:tc>
          <w:tcPr>
            <w:tcW w:type="dxa" w:w="24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🟡 Defensive — ổn định, biến động thấp</w:t>
            </w:r>
          </w:p>
        </w:tc>
      </w:tr>
      <w:tr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Bán lẻ/Tiêu dùng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-18%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+55%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-22%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+8%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+15%</w:t>
            </w:r>
          </w:p>
        </w:tc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+3%</w:t>
            </w:r>
          </w:p>
        </w:tc>
        <w:tc>
          <w:tcPr>
            <w:tcW w:type="dxa" w:w="24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🟡 Phục hồi chậm — phụ thuộc nhu cầu nội địa</w:t>
            </w:r>
          </w:p>
        </w:tc>
      </w:tr>
      <w:tr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Bất động sản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-30%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+80%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-51%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+4%</w:t>
            </w:r>
          </w:p>
        </w:tc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+8%</w:t>
            </w:r>
          </w:p>
        </w:tc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-1%</w:t>
            </w:r>
          </w:p>
        </w:tc>
        <w:tc>
          <w:tcPr>
            <w:tcW w:type="dxa" w:w="24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🔴 Rủi ro pháp lý — định giá chưa hấp dẫn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370"/>
          <w:sz w:val="22"/>
          <w:szCs w:val="22"/>
        </w:rPr>
        <w:t xml:space="preserve">(*) YTD đến 31/03/2025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A3E0"/>
          <w:sz w:val="22"/>
          <w:szCs w:val="22"/>
        </w:rPr>
        <w:t xml:space="preserve">Nhận xét Sector Rotation Pattern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COVID Crash: Tiện ích &amp; Năng lượng defensive outperform (giảm ít nhất)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COVID Recovery: Chứng khoán và BĐS dẫn đầu sóng F0 — beta cao nhất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2022 Crisis: Không có sector nào "an toàn" — tất cả giảm, BĐS giảm mạnh nhất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2023–2024: NH dẫn đầu đầu chu kỳ phục hồi, sau đó nhường vị trí cho CK và IT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2025: IT + CK tiếp tục dẫn đầu nhờ câu chuyện nâng hạng FTSE</w:t>
      </w:r>
    </w:p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pacing w:after="8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34"/>
          <w:szCs w:val="34"/>
        </w:rPr>
        <w:t xml:space="preserve">4. Risk-Return Analysis — Quantitative View</w:t>
      </w:r>
    </w:p>
    <w:p>
      <w:pPr>
        <w:pBdr>
          <w:bottom w:val="single" w:color="003087" w:sz="8" w:space="4"/>
        </w:pBdr>
        <w:spacing w:after="180" w:before="60"/>
        <w:jc w:val="left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6370"/>
          <w:sz w:val="22"/>
          <w:szCs w:val="22"/>
        </w:rPr>
        <w:t xml:space="preserve">[Chèn biểu đồ 03_risk_return.png — Scatter Risk vs Return từ 2020]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100"/>
        <w:gridCol w:w="1200"/>
        <w:gridCol w:w="1000"/>
        <w:gridCol w:w="1000"/>
        <w:gridCol w:w="1500"/>
        <w:gridCol w:w="2360"/>
      </w:tblGrid>
      <w:tr>
        <w:trPr>
          <w:tblHeader/>
        </w:trPr>
        <w:tc>
          <w:tcPr>
            <w:tcW w:type="dxa" w:w="7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Ngành</w:t>
            </w:r>
          </w:p>
        </w:tc>
        <w:tc>
          <w:tcPr>
            <w:tcW w:type="dxa" w:w="11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Ret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Volatility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Calmar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Nhận định</w:t>
            </w:r>
          </w:p>
        </w:tc>
      </w:tr>
      <w:tr>
        <w:tc>
          <w:tcPr>
            <w:tcW w:type="dxa" w:w="7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FPT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</w:t>
            </w:r>
          </w:p>
        </w:tc>
        <w:tc>
          <w:tcPr>
            <w:tcW w:type="dxa" w:w="11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+310%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28%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2.84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2.10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-32%</w:t>
            </w:r>
          </w:p>
        </w:tc>
        <w:tc>
          <w:tcPr>
            <w:tcW w:type="dxa" w:w="2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Best all-around: growth + defensive</w:t>
            </w:r>
          </w:p>
        </w:tc>
      </w:tr>
      <w:tr>
        <w:tc>
          <w:tcPr>
            <w:tcW w:type="dxa" w:w="7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VCB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NH</w:t>
            </w:r>
          </w:p>
        </w:tc>
        <w:tc>
          <w:tcPr>
            <w:tcW w:type="dxa" w:w="11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+180%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24%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1.82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1.45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-29%</w:t>
            </w:r>
          </w:p>
        </w:tc>
        <w:tc>
          <w:tcPr>
            <w:tcW w:type="dxa" w:w="2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Quality blue-chip, drawdown kiểm soát tốt</w:t>
            </w:r>
          </w:p>
        </w:tc>
      </w:tr>
      <w:tr>
        <w:tc>
          <w:tcPr>
            <w:tcW w:type="dxa" w:w="7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SSI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CK</w:t>
            </w:r>
          </w:p>
        </w:tc>
        <w:tc>
          <w:tcPr>
            <w:tcW w:type="dxa" w:w="11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+220%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39%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1.42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1.08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-51%</w:t>
            </w:r>
          </w:p>
        </w:tc>
        <w:tc>
          <w:tcPr>
            <w:tcW w:type="dxa" w:w="2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⚠️ High return / high risk — beta cao</w:t>
            </w:r>
          </w:p>
        </w:tc>
      </w:tr>
      <w:tr>
        <w:tc>
          <w:tcPr>
            <w:tcW w:type="dxa" w:w="7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GAS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NL</w:t>
            </w:r>
          </w:p>
        </w:tc>
        <w:tc>
          <w:tcPr>
            <w:tcW w:type="dxa" w:w="11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+85%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19%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1.12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0.98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-18%</w:t>
            </w:r>
          </w:p>
        </w:tc>
        <w:tc>
          <w:tcPr>
            <w:tcW w:type="dxa" w:w="2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Defensive yield — thấp nhất drawdown</w:t>
            </w:r>
          </w:p>
        </w:tc>
      </w:tr>
      <w:tr>
        <w:tc>
          <w:tcPr>
            <w:tcW w:type="dxa" w:w="7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MWG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Bán lẻ</w:t>
            </w:r>
          </w:p>
        </w:tc>
        <w:tc>
          <w:tcPr>
            <w:tcW w:type="dxa" w:w="11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-15%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32%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-0.28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-0.22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-65%</w:t>
            </w:r>
          </w:p>
        </w:tc>
        <w:tc>
          <w:tcPr>
            <w:tcW w:type="dxa" w:w="2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🔴 Chuỗi bán lẻ gặp khó 2022–2023</w:t>
            </w:r>
          </w:p>
        </w:tc>
      </w:tr>
      <w:tr>
        <w:tc>
          <w:tcPr>
            <w:tcW w:type="dxa" w:w="7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VHM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BĐS</w:t>
            </w:r>
          </w:p>
        </w:tc>
        <w:tc>
          <w:tcPr>
            <w:tcW w:type="dxa" w:w="11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+30%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42%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0.21</w:t>
            </w:r>
          </w:p>
        </w:tc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0.18</w:t>
            </w:r>
          </w:p>
        </w:tc>
        <w:tc>
          <w:tcPr>
            <w:tcW w:type="dxa" w:w="15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-68%</w:t>
            </w:r>
          </w:p>
        </w:tc>
        <w:tc>
          <w:tcPr>
            <w:tcW w:type="dxa" w:w="2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🔴 Volatility cao, drawdown lớn nhất VN30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370"/>
          <w:sz w:val="22"/>
          <w:szCs w:val="22"/>
        </w:rPr>
        <w:t xml:space="preserve">Dữ liệu tính từ 01/01/2020. Sharpe = Annual Return / Annual Vol (Rf = 5%). Calmar = Annual Return / |Max DD|.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6370"/>
          <w:sz w:val="22"/>
          <w:szCs w:val="22"/>
        </w:rPr>
        <w:t xml:space="preserve">[Chèn biểu đồ 04_volatility_regime.png — Box plot volatility theo giai đoạn]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COVID Crash: Volatility đạt đỉnh median ~45% annualized — cao nhất 5 năm phân tích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COVID Recovery: Giảm về 25–30% khi tâm lý ổn định, thanh khoản dồi dào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TPDN Crisis 2022: Volatility tái tăng 30–38% do bất ổn pháp lý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Rebound 2023–2024: Hạ dần về 18–22% — môi trường ổn định nhất trong chu kỳ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YTD 2025: Duy trì ~17–20% — thấp nhất toàn kỳ phân tích, báo hiệu thị trường trưởng thành hơn</w:t>
      </w:r>
    </w:p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pacing w:after="8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34"/>
          <w:szCs w:val="34"/>
        </w:rPr>
        <w:t xml:space="preserve">5. Momentum &amp; YTD Leaderboard</w:t>
      </w:r>
    </w:p>
    <w:p>
      <w:pPr>
        <w:pBdr>
          <w:bottom w:val="single" w:color="003087" w:sz="8" w:space="4"/>
        </w:pBdr>
        <w:spacing w:after="180" w:before="60"/>
        <w:jc w:val="left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6370"/>
          <w:sz w:val="22"/>
          <w:szCs w:val="22"/>
        </w:rPr>
        <w:t xml:space="preserve">[Chèn biểu đồ 05_ytd_momentum.png — Top &amp; Bottom 10 mã YTD]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Phân tích momentum YTD kết hợp RSI để xác định tín hiệu kỹ thuật: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26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RSI Range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YTD Return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Giải thích</w:t>
            </w:r>
          </w:p>
        </w:tc>
        <w:tc>
          <w:tcPr>
            <w:tcW w:type="dxa" w:w="2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Chiến lược</w:t>
            </w:r>
          </w:p>
        </w:tc>
      </w:tr>
      <w:tr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Strong Bull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50–70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Dương, tăng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Momentum tốt, chưa overbought</w:t>
            </w:r>
          </w:p>
        </w:tc>
        <w:tc>
          <w:tcPr>
            <w:tcW w:type="dxa" w:w="2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Giữ hoặc tăng tỷ trọng</w:t>
            </w:r>
          </w:p>
        </w:tc>
      </w:tr>
      <w:tr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Overbought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&gt; 70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Dương mạnh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Đã tăng quá nhanh, cần thận trọng</w:t>
            </w:r>
          </w:p>
        </w:tc>
        <w:tc>
          <w:tcPr>
            <w:tcW w:type="dxa" w:w="2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Chốt lời một phần</w:t>
            </w:r>
          </w:p>
        </w:tc>
      </w:tr>
      <w:tr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Bullish Dip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 40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Âm nhẹ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Giảm kỹ thuật trong uptrend</w:t>
            </w:r>
          </w:p>
        </w:tc>
        <w:tc>
          <w:tcPr>
            <w:tcW w:type="dxa" w:w="2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Xem xét mua vào dần</w:t>
            </w:r>
          </w:p>
        </w:tc>
      </w:tr>
      <w:tr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Bearish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 35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Âm mạnh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Trend giảm, momentum tiêu cực</w:t>
            </w:r>
          </w:p>
        </w:tc>
        <w:tc>
          <w:tcPr>
            <w:tcW w:type="dxa" w:w="2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Tránh hoặc short hedge</w:t>
            </w:r>
          </w:p>
        </w:tc>
      </w:tr>
    </w:tbl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pacing w:after="8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34"/>
          <w:szCs w:val="34"/>
        </w:rPr>
        <w:t xml:space="preserve">6. Kết luận &amp; Khuyến nghị</w:t>
      </w:r>
    </w:p>
    <w:p>
      <w:pPr>
        <w:pBdr>
          <w:bottom w:val="single" w:color="003087" w:sz="8" w:space="4"/>
        </w:pBdr>
        <w:spacing w:after="180" w:before="60"/>
        <w:jc w:val="left"/>
      </w:pPr>
    </w:p>
    <w:p>
      <w:pPr>
        <w:pStyle w:val="Heading2"/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6"/>
          <w:szCs w:val="26"/>
        </w:rPr>
        <w:t xml:space="preserve">6.1 Kết luận chính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TTCK Việt Nam đã trải qua full market cycle 2020–2025 với biên độ dao động cực rộng: từ đáy COVID 649 điểm đến đỉnh 2021 ~1,500 điểm. Khả năng phục hồi (resilience) nhanh hơn kỳ vọng — cả 2 lần sụt giảm (COVID và TPDN) đều phục hồi trong vòng 18–24 tháng.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Factor hiệu quả nhất tại TTCK Việt Nam: Quality (ROE cao, ít đòn bẩy) + Momentum. FPT là minh chứng điển hình với Sharpe 2.84 — outperform VN-Index trong mọi giai đoạn ngoại trừ COVID Recovery (khi BĐS và CK beta cao thắng).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Volatility regime là chỉ báo leading quan trọng: Khi vol &gt; 35% → tâm lý sợ hãi, thường xuất hiện đáy cục bộ. Khi vol &lt; 20% → thị trường ổn định, phù hợp tích lũy dài hạn.</w:t>
      </w:r>
    </w:p>
    <w:p>
      <w:pPr>
        <w:pStyle w:val="ListParagraph"/>
        <w:numPr>
          <w:ilvl w:val="0"/>
          <w:numId w:val="2"/>
        </w:numPr>
        <w:spacing w:after="5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Rủi ro cấu trúc vẫn còn: Thị trường TPDN chưa lành mạnh hoàn toàn, tỷ lệ room ngoại vẫn là điểm yếu cho FTSE nâng hạng, nợ xấu BĐS cần thêm 2–3 năm để hóa giải.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6"/>
          <w:szCs w:val="26"/>
        </w:rPr>
        <w:t xml:space="preserve">6.2 Hướng phát triển dự án (Roadmap)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1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Bổ sung BCTC: P/E, ROE, EPS trend qua Finance.ratio()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vnstock Finance API</w:t>
            </w:r>
          </w:p>
        </w:tc>
        <w:tc>
          <w:tcPr>
            <w:tcW w:type="dxa" w:w="1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2–3 tuần</w:t>
            </w:r>
          </w:p>
        </w:tc>
      </w:tr>
      <w:tr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Mô hình dự báo VN-Index: ARIMA + LSTM so sánh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scikit-learn, TensorFlow</w:t>
            </w:r>
          </w:p>
        </w:tc>
        <w:tc>
          <w:tcPr>
            <w:tcW w:type="dxa" w:w="1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4–6 tuần</w:t>
            </w:r>
          </w:p>
        </w:tc>
      </w:tr>
      <w:tr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Portfolio Optimization: Markowitz Efficient Frontier trên VN30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scipy optimize</w:t>
            </w:r>
          </w:p>
        </w:tc>
        <w:tc>
          <w:tcPr>
            <w:tcW w:type="dxa" w:w="1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3–4 tuần</w:t>
            </w:r>
          </w:p>
        </w:tc>
      </w:tr>
      <w:tr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Sentiment Analysis từ tin tức cafef.vn + Vietstock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BeautifulSoup, NLP</w:t>
            </w:r>
          </w:p>
        </w:tc>
        <w:tc>
          <w:tcPr>
            <w:tcW w:type="dxa" w:w="1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4F6F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6–8 tuần</w:t>
            </w:r>
          </w:p>
        </w:tc>
      </w:tr>
      <w:tr>
        <w:tc>
          <w:tcPr>
            <w:tcW w:type="dxa" w:w="1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Tích hợp macro: CPI, lãi suất, tỷ giá, FDI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FRED API, SBV data</w:t>
            </w:r>
          </w:p>
        </w:tc>
        <w:tc>
          <w:tcPr>
            <w:tcW w:type="dxa" w:w="1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2–3 tuần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Bdr>
          <w:bottom w:val="single" w:color="C8A84B" w:sz="4" w:space="4"/>
        </w:pBdr>
        <w:spacing w:after="180" w:before="60"/>
        <w:jc w:val="left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370"/>
          <w:sz w:val="19"/>
          <w:szCs w:val="19"/>
        </w:rPr>
        <w:t xml:space="preserve">Nguồn dữ liệu: vnstock · KB Securities | Python · pandas · matplotlib · Power BI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370"/>
          <w:sz w:val="19"/>
          <w:szCs w:val="19"/>
        </w:rPr>
        <w:t xml:space="preserve">Liên hệ: [email] · LinkedIn: [link] · GitHub: [github.com/yourname/vn30-analysis]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00"/>
      <w:outlineLvl w:val="0"/>
    </w:pPr>
    <w:rPr>
      <w:rFonts w:ascii="Arial" w:cs="Arial" w:eastAsia="Arial" w:hAnsi="Arial"/>
      <w:b/>
      <w:bCs/>
      <w:color w:val="0030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0308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0A3E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2026-04-08T00:15:48.844Z</dcterms:created>
  <dcterms:modified xsi:type="dcterms:W3CDTF">2026-04-08T00:15:48.845Z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