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20 March 2017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`name`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`address1`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`address2`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`title`</w:t>
      </w:r>
      <w:r>
        <w:rPr>
          <w:sz w:val="24"/>
          <w:szCs w:val="24"/>
        </w:rPr>
        <w:t>,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Re: Investment in Common Shares of Nerdwallet Inc through iGlobe International Limited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We are pleased to inform you that iGlobe International Limited (“iGInt”) has been allocated US$3 million (500,000 shares at US$6 per share) in the secondary common shares purchase of Nerdwallet Inc’s total offering of US$5.8 million.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Based on your ${{‘{:,}’.format(`amount`)}} invested capital, you will own {{round(`amount`/3000000 * 100, 2)}}% of iGInt’s secondary common shares ownership in Nerdwallet (equivalent to {{‘{:,}’.format(int(round(`amount`/3000000 * 500000)))}} common shares).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Enclosed is your contract with iGlobe International Limited. Thank you for your support and we look forward to working with you closely.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Yours truly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Leng Wei Bin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Finance Manager</w:t>
      </w:r>
    </w:p>
    <w:p>
      <w:pPr>
        <w:pStyle w:val="Normal"/>
        <w:spacing w:lineRule="auto" w:line="240"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288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</w:r>
  </w:p>
  <w:tbl>
    <w:tblPr>
      <w:tblStyle w:val="Table2"/>
      <w:tblW w:w="5220" w:type="dxa"/>
      <w:jc w:val="left"/>
      <w:tblInd w:w="1827" w:type="dxa"/>
      <w:tblBorders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2565"/>
      <w:gridCol w:w="2654"/>
    </w:tblGrid>
    <w:tr>
      <w:trPr>
        <w:trHeight w:val="360" w:hRule="atLeast"/>
      </w:trPr>
      <w:tc>
        <w:tcPr>
          <w:tcW w:w="2565" w:type="dxa"/>
          <w:tcBorders/>
          <w:shd w:fill="auto" w:val="clear"/>
          <w:vAlign w:val="bottom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>
              <w:b/>
              <w:color w:val="000080"/>
              <w:sz w:val="16"/>
              <w:szCs w:val="16"/>
            </w:rPr>
            <w:t xml:space="preserve">Asia </w:t>
          </w:r>
        </w:p>
      </w:tc>
      <w:tc>
        <w:tcPr>
          <w:tcW w:w="2654" w:type="dxa"/>
          <w:tcBorders/>
          <w:shd w:fill="auto" w:val="clear"/>
          <w:vAlign w:val="bottom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>
              <w:b/>
              <w:color w:val="000080"/>
              <w:sz w:val="16"/>
              <w:szCs w:val="16"/>
            </w:rPr>
            <w:t>USA</w:t>
          </w:r>
        </w:p>
      </w:tc>
    </w:tr>
    <w:tr>
      <w:trPr>
        <w:trHeight w:val="1140" w:hRule="atLeast"/>
      </w:trPr>
      <w:tc>
        <w:tcPr>
          <w:tcW w:w="2565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11 Biopolis Way 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Helios #09-03 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Singapore 138667 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Tel. +65 6478 9716 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>
              <w:color w:val="808080"/>
              <w:sz w:val="16"/>
              <w:szCs w:val="16"/>
            </w:rPr>
            <w:t xml:space="preserve">Fax +65 6478 9717 </w:t>
          </w:r>
        </w:p>
      </w:tc>
      <w:tc>
        <w:tcPr>
          <w:tcW w:w="2654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4051 Burton Drive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Santa Clara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CA 95054</w:t>
          </w:r>
        </w:p>
        <w:p>
          <w:pPr>
            <w:pStyle w:val="Normal"/>
            <w:spacing w:lineRule="auto" w:line="240" w:before="0" w:after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Tel. +1 408 716 8082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>
              <w:color w:val="808080"/>
              <w:sz w:val="16"/>
              <w:szCs w:val="16"/>
            </w:rPr>
            <w:t>Fax +1 408 716 8089</w:t>
          </w:r>
        </w:p>
      </w:tc>
    </w:tr>
  </w:tbl>
  <w:p>
    <w:pPr>
      <w:pStyle w:val="Normal"/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color w:val="808080"/>
        <w:sz w:val="28"/>
        <w:szCs w:val="28"/>
      </w:rPr>
    </w:pPr>
    <w:r>
      <w:rPr>
        <w:color w:val="808080"/>
        <w:sz w:val="28"/>
        <w:szCs w:val="28"/>
      </w:rPr>
    </w:r>
  </w:p>
  <w:tbl>
    <w:tblPr>
      <w:tblStyle w:val="Table1"/>
      <w:tblW w:w="4755" w:type="dxa"/>
      <w:jc w:val="left"/>
      <w:tblInd w:w="-108" w:type="dxa"/>
      <w:tblBorders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1950"/>
      <w:gridCol w:w="2804"/>
    </w:tblGrid>
    <w:tr>
      <w:trPr/>
      <w:tc>
        <w:tcPr>
          <w:tcW w:w="1950" w:type="dxa"/>
          <w:tcBorders/>
          <w:shd w:fill="auto" w:val="clear"/>
        </w:tcPr>
        <w:p>
          <w:pPr>
            <w:pStyle w:val="Normal"/>
            <w:spacing w:lineRule="auto" w:line="240" w:before="0" w:after="0"/>
            <w:ind w:left="0" w:right="0" w:hanging="30"/>
            <w:rPr/>
          </w:pPr>
          <w:r>
            <w:rPr>
              <w:i/>
              <w:color w:val="808080"/>
              <w:sz w:val="12"/>
              <w:szCs w:val="12"/>
            </w:rPr>
            <w:drawing>
              <wp:inline distT="0" distB="0" distL="0" distR="0">
                <wp:extent cx="1195705" cy="645160"/>
                <wp:effectExtent l="0" t="0" r="0" b="0"/>
                <wp:docPr id="1" name="image0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705" cy="64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4" w:type="dxa"/>
          <w:tcBorders/>
          <w:shd w:fill="auto" w:val="clear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>
          <w:pPr>
            <w:pStyle w:val="Normal"/>
            <w:spacing w:lineRule="auto" w:line="240" w:before="0" w:after="0"/>
            <w:ind w:left="0" w:right="0" w:hanging="30"/>
            <w:rPr>
              <w:i/>
              <w:i/>
              <w:color w:val="808080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i/>
              <w:color w:val="17365D"/>
              <w:sz w:val="20"/>
              <w:szCs w:val="20"/>
            </w:rPr>
            <w:t>build • grow • drive</w:t>
          </w:r>
        </w:p>
      </w:tc>
    </w:tr>
  </w:tbl>
  <w:p>
    <w:pPr>
      <w:pStyle w:val="Normal"/>
      <w:spacing w:lineRule="auto" w:line="240" w:before="0" w:after="0"/>
      <w:ind w:left="0" w:right="0" w:hanging="0"/>
      <w:rPr>
        <w:i/>
        <w:i/>
        <w:color w:val="808080"/>
        <w:sz w:val="12"/>
        <w:szCs w:val="12"/>
      </w:rPr>
    </w:pPr>
    <w:r>
      <w:rPr>
        <w:i/>
        <w:color w:val="808080"/>
        <w:sz w:val="12"/>
        <w:szCs w:val="12"/>
      </w:rPr>
      <w:t xml:space="preserve">iGlobe International Limited </w:t>
      <w:tab/>
    </w:r>
  </w:p>
  <w:p>
    <w:pPr>
      <w:pStyle w:val="Normal"/>
      <w:spacing w:lineRule="auto" w:line="240" w:before="0" w:after="0"/>
      <w:rPr/>
    </w:pPr>
    <w:r>
      <w:rPr>
        <w:i/>
        <w:color w:val="808080"/>
        <w:sz w:val="12"/>
        <w:szCs w:val="12"/>
      </w:rPr>
      <w:t>BVI Company Number: 467689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color w:val="000000"/>
        <w:sz w:val="22"/>
        <w:szCs w:val="22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Helvetica Neue" w:hAnsi="Helvetica Neue" w:eastAsia="Helvetica Neue" w:cs="Helvetica Neue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SG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/>
      <w:spacing w:before="0" w:after="0"/>
      <w:contextualSpacing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Proxima Nova" w:hAnsi="Proxima Nova" w:eastAsia="Proxima Nova" w:cs="Proxima Nova"/>
      <w:b/>
      <w:color w:val="666666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color w:val="666666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Helvetica Neue" w:hAnsi="Helvetica Neue" w:eastAsia="Helvetica Neue" w:cs="Helvetica Neue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SG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before="0" w:after="0"/>
      <w:contextualSpacing/>
      <w:jc w:val="center"/>
    </w:pPr>
    <w:rPr>
      <w:rFonts w:ascii="Proxima Nova" w:hAnsi="Proxima Nova" w:eastAsia="Proxima Nova" w:cs="Proxima Nova"/>
      <w:b/>
      <w:sz w:val="42"/>
      <w:szCs w:val="4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LibreOffice/5.2.2.2$Linux_X86_64 LibreOffice_project/20m0$Build-2</Application>
  <Pages>1</Pages>
  <Words>159</Words>
  <Characters>906</Characters>
  <CharactersWithSpaces>1046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2017-03-20T15:33:02Z</dcterms:modified>
  <cp:revision>2</cp:revision>
  <dc:subject/>
  <dc:title/>
</cp:coreProperties>
</file>