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SEOExpert.sg — Site Style Guide &amp; Homepage Wireframe</w:t>
      </w:r>
    </w:p>
    <w:p>
      <w:r>
        <w:rPr>
          <w:sz w:val="22"/>
        </w:rPr>
        <w:t>Version 1.0 (based on finalized black logo)</w:t>
      </w:r>
    </w:p>
    <w:p>
      <w:pPr>
        <w:pStyle w:val="Heading1"/>
      </w:pPr>
      <w:r>
        <w:t>One-page style guide</w:t>
      </w:r>
    </w:p>
    <w:p>
      <w:pPr>
        <w:pStyle w:val="Heading2"/>
      </w:pPr>
      <w:r>
        <w:t>Brand vibe</w:t>
      </w:r>
    </w:p>
    <w:p>
      <w:r>
        <w:rPr>
          <w:b/>
        </w:rPr>
        <w:t xml:space="preserve">Keywords: </w:t>
      </w:r>
      <w:r>
        <w:t>editorial, calm, modern, human, airy, premium.</w:t>
        <w:br/>
      </w:r>
      <w:r>
        <w:rPr>
          <w:b/>
        </w:rPr>
        <w:t xml:space="preserve">Intent: </w:t>
      </w:r>
      <w:r>
        <w:t>quiet authority (not “SEO spam agency”).</w:t>
        <w:br/>
      </w:r>
      <w:r>
        <w:rPr>
          <w:b/>
        </w:rPr>
        <w:t xml:space="preserve">Avoid: </w:t>
      </w:r>
      <w:r>
        <w:t>loud gradients everywhere, neon tech vibes, cluttered service cards, stock corporate meeting photos.</w:t>
      </w:r>
    </w:p>
    <w:p>
      <w:pPr>
        <w:pStyle w:val="Heading2"/>
      </w:pPr>
      <w:r>
        <w:t>Color palette</w:t>
      </w:r>
    </w:p>
    <w:p>
      <w:pPr>
        <w:pStyle w:val="ListBullet"/>
      </w:pPr>
      <w:r>
        <w:t>Mostly monochrome. Add one accent only if needed.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Ink (primary text)</w:t>
            </w:r>
          </w:p>
        </w:tc>
        <w:tc>
          <w:tcPr>
            <w:tcW w:type="dxa" w:w="2880"/>
          </w:tcPr>
          <w:p>
            <w:r>
              <w:t>#111111</w:t>
            </w:r>
          </w:p>
        </w:tc>
        <w:tc>
          <w:tcPr>
            <w:tcW w:type="dxa" w:w="2880"/>
          </w:tcPr>
          <w:p>
            <w:r>
              <w:t>Headlines, primary text, logo wordmark</w:t>
            </w:r>
          </w:p>
        </w:tc>
      </w:tr>
      <w:tr>
        <w:tc>
          <w:tcPr>
            <w:tcW w:type="dxa" w:w="2880"/>
          </w:tcPr>
          <w:p>
            <w:r>
              <w:t>Ink 2 (secondary)</w:t>
            </w:r>
          </w:p>
        </w:tc>
        <w:tc>
          <w:tcPr>
            <w:tcW w:type="dxa" w:w="2880"/>
          </w:tcPr>
          <w:p>
            <w:r>
              <w:t>#3A3A3A</w:t>
            </w:r>
          </w:p>
        </w:tc>
        <w:tc>
          <w:tcPr>
            <w:tcW w:type="dxa" w:w="2880"/>
          </w:tcPr>
          <w:p>
            <w:r>
              <w:t>Secondary text, descriptions</w:t>
            </w:r>
          </w:p>
        </w:tc>
      </w:tr>
      <w:tr>
        <w:tc>
          <w:tcPr>
            <w:tcW w:type="dxa" w:w="2880"/>
          </w:tcPr>
          <w:p>
            <w:r>
              <w:t>Muted</w:t>
            </w:r>
          </w:p>
        </w:tc>
        <w:tc>
          <w:tcPr>
            <w:tcW w:type="dxa" w:w="2880"/>
          </w:tcPr>
          <w:p>
            <w:r>
              <w:t>#B9B6B0</w:t>
            </w:r>
          </w:p>
        </w:tc>
        <w:tc>
          <w:tcPr>
            <w:tcW w:type="dxa" w:w="2880"/>
          </w:tcPr>
          <w:p>
            <w:r>
              <w:t>Captions, helper text, subtle dividers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#F7F6F3</w:t>
            </w:r>
          </w:p>
        </w:tc>
        <w:tc>
          <w:tcPr>
            <w:tcW w:type="dxa" w:w="2880"/>
          </w:tcPr>
          <w:p>
            <w:r>
              <w:t>Page background (avoid pure white)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Cards / panels</w:t>
            </w:r>
          </w:p>
        </w:tc>
      </w:tr>
      <w:tr>
        <w:tc>
          <w:tcPr>
            <w:tcW w:type="dxa" w:w="2880"/>
          </w:tcPr>
          <w:p>
            <w:r>
              <w:t>Border</w:t>
            </w:r>
          </w:p>
        </w:tc>
        <w:tc>
          <w:tcPr>
            <w:tcW w:type="dxa" w:w="2880"/>
          </w:tcPr>
          <w:p>
            <w:r>
              <w:t>#E8E6E1</w:t>
            </w:r>
          </w:p>
        </w:tc>
        <w:tc>
          <w:tcPr>
            <w:tcW w:type="dxa" w:w="2880"/>
          </w:tcPr>
          <w:p>
            <w:r>
              <w:t>Card borders, separators</w:t>
            </w:r>
          </w:p>
        </w:tc>
      </w:tr>
      <w:tr>
        <w:tc>
          <w:tcPr>
            <w:tcW w:type="dxa" w:w="2880"/>
          </w:tcPr>
          <w:p>
            <w:r>
              <w:t>Accent (optional)</w:t>
            </w:r>
          </w:p>
        </w:tc>
        <w:tc>
          <w:tcPr>
            <w:tcW w:type="dxa" w:w="2880"/>
          </w:tcPr>
          <w:p>
            <w:r>
              <w:t>#2F5AFF</w:t>
            </w:r>
          </w:p>
        </w:tc>
        <w:tc>
          <w:tcPr>
            <w:tcW w:type="dxa" w:w="2880"/>
          </w:tcPr>
          <w:p>
            <w:r>
              <w:t>Primary CTA, link hover, small highlights</w:t>
            </w:r>
          </w:p>
        </w:tc>
      </w:tr>
    </w:tbl>
    <w:p>
      <w:pPr>
        <w:pStyle w:val="ListBullet"/>
      </w:pPr>
      <w:r>
        <w:t>Rules:</w:t>
      </w:r>
    </w:p>
    <w:p>
      <w:pPr>
        <w:pStyle w:val="ListBullet2"/>
      </w:pPr>
      <w:r>
        <w:t>Wordmark stays black. Symbol can be black (primary) or accent (optional).</w:t>
      </w:r>
    </w:p>
    <w:p>
      <w:pPr>
        <w:pStyle w:val="ListBullet2"/>
      </w:pPr>
      <w:r>
        <w:t>Never use more than 1 accent color per page.</w:t>
      </w:r>
    </w:p>
    <w:p>
      <w:pPr>
        <w:pStyle w:val="Heading2"/>
      </w:pPr>
      <w:r>
        <w:t>Typography</w:t>
      </w:r>
    </w:p>
    <w:p>
      <w:pPr>
        <w:pStyle w:val="ListBullet"/>
      </w:pPr>
      <w:r>
        <w:t>Recommended pairing (Google Fonts):</w:t>
      </w:r>
    </w:p>
    <w:p>
      <w:pPr>
        <w:pStyle w:val="ListBullet2"/>
      </w:pPr>
      <w:r>
        <w:t>Headlines: Fraunces (600–700)</w:t>
      </w:r>
    </w:p>
    <w:p>
      <w:pPr>
        <w:pStyle w:val="ListBullet2"/>
      </w:pPr>
      <w:r>
        <w:t>Body / UI: Inter (400–500); Buttons: Inter (600)</w:t>
      </w:r>
    </w:p>
    <w:p>
      <w:pPr>
        <w:pStyle w:val="ListBullet"/>
      </w:pPr>
      <w:r>
        <w:t>Type scale (desktop):</w:t>
      </w:r>
    </w:p>
    <w:p>
      <w:pPr>
        <w:pStyle w:val="ListBullet2"/>
      </w:pPr>
      <w:r>
        <w:t>H1: 56–64 px / line-height 1.05–1.15</w:t>
      </w:r>
    </w:p>
    <w:p>
      <w:pPr>
        <w:pStyle w:val="ListBullet2"/>
      </w:pPr>
      <w:r>
        <w:t>H2: 36–40 px / line-height 1.15</w:t>
      </w:r>
    </w:p>
    <w:p>
      <w:pPr>
        <w:pStyle w:val="ListBullet2"/>
      </w:pPr>
      <w:r>
        <w:t>H3: 24–28 px / line-height 1.25</w:t>
      </w:r>
    </w:p>
    <w:p>
      <w:pPr>
        <w:pStyle w:val="ListBullet2"/>
      </w:pPr>
      <w:r>
        <w:t>Body: 16–18 px / line-height 1.6</w:t>
      </w:r>
    </w:p>
    <w:p>
      <w:pPr>
        <w:pStyle w:val="ListBullet2"/>
      </w:pPr>
      <w:r>
        <w:t>Small: 13–14 px / line-height 1.5</w:t>
      </w:r>
    </w:p>
    <w:p>
      <w:pPr>
        <w:pStyle w:val="ListBullet"/>
      </w:pPr>
      <w:r>
        <w:t>Type scale (mobile):</w:t>
      </w:r>
    </w:p>
    <w:p>
      <w:pPr>
        <w:pStyle w:val="ListBullet2"/>
      </w:pPr>
      <w:r>
        <w:t>H1: 36–40 px</w:t>
      </w:r>
    </w:p>
    <w:p>
      <w:pPr>
        <w:pStyle w:val="ListBullet2"/>
      </w:pPr>
      <w:r>
        <w:t>H2: 28–32 px</w:t>
      </w:r>
    </w:p>
    <w:p>
      <w:pPr>
        <w:pStyle w:val="ListBullet2"/>
      </w:pPr>
      <w:r>
        <w:t>Body: 16 px</w:t>
      </w:r>
    </w:p>
    <w:p>
      <w:pPr>
        <w:pStyle w:val="ListBullet"/>
      </w:pPr>
      <w:r>
        <w:t>Rules:</w:t>
      </w:r>
    </w:p>
    <w:p>
      <w:pPr>
        <w:pStyle w:val="ListBullet2"/>
      </w:pPr>
      <w:r>
        <w:t>Headlines in serif; body in sans; buttons always in sans (600).</w:t>
      </w:r>
    </w:p>
    <w:p>
      <w:pPr>
        <w:pStyle w:val="ListBullet2"/>
      </w:pPr>
      <w:r>
        <w:t>Avoid ALL CAPS except tiny labels.</w:t>
      </w:r>
    </w:p>
    <w:p>
      <w:pPr>
        <w:pStyle w:val="ListBullet2"/>
      </w:pPr>
      <w:r>
        <w:t>Keep line length around 60–75 characters for readability.</w:t>
      </w:r>
    </w:p>
    <w:p>
      <w:pPr>
        <w:pStyle w:val="Heading2"/>
      </w:pPr>
      <w:r>
        <w:t>Spacing &amp; layout system</w:t>
      </w:r>
    </w:p>
    <w:p>
      <w:pPr>
        <w:pStyle w:val="ListBullet"/>
      </w:pPr>
      <w:r>
        <w:t>Max content width: 1120 px</w:t>
      </w:r>
    </w:p>
    <w:p>
      <w:pPr>
        <w:pStyle w:val="ListBullet"/>
      </w:pPr>
      <w:r>
        <w:t>Page gutters: 24 px (mobile), 48–80 px (desktop)</w:t>
      </w:r>
    </w:p>
    <w:p>
      <w:pPr>
        <w:pStyle w:val="ListBullet"/>
      </w:pPr>
      <w:r>
        <w:t>Spacing rhythm: 8 px system (8/16/24/32/48/64/96)</w:t>
      </w:r>
    </w:p>
    <w:p>
      <w:pPr>
        <w:pStyle w:val="ListBullet"/>
      </w:pPr>
      <w:r>
        <w:t>Section padding: 80–120 px (desktop), 48–72 px (mobile)</w:t>
      </w:r>
    </w:p>
    <w:p>
      <w:pPr>
        <w:pStyle w:val="ListBullet"/>
      </w:pPr>
      <w:r>
        <w:t>Card radius: 16–20 px; Button radius: 12 px</w:t>
      </w:r>
    </w:p>
    <w:p>
      <w:pPr>
        <w:pStyle w:val="ListBullet"/>
      </w:pPr>
      <w:r>
        <w:t>Shadows: extremely subtle (or none); prefer borders</w:t>
      </w:r>
    </w:p>
    <w:p>
      <w:pPr>
        <w:pStyle w:val="Heading2"/>
      </w:pPr>
      <w:r>
        <w:t>UI components</w:t>
      </w:r>
    </w:p>
    <w:p>
      <w:pPr>
        <w:pStyle w:val="ListBullet"/>
      </w:pPr>
      <w:r>
        <w:t>Buttons</w:t>
      </w:r>
    </w:p>
    <w:p>
      <w:pPr>
        <w:pStyle w:val="ListBullet2"/>
      </w:pPr>
      <w:r>
        <w:t>Primary: filled Ink (or Accent), white text; padding 14×18; radius 12</w:t>
      </w:r>
    </w:p>
    <w:p>
      <w:pPr>
        <w:pStyle w:val="ListBullet2"/>
      </w:pPr>
      <w:r>
        <w:t>Secondary: outline Border; Ink text; same padding</w:t>
      </w:r>
    </w:p>
    <w:p>
      <w:pPr>
        <w:pStyle w:val="ListBullet2"/>
      </w:pPr>
      <w:r>
        <w:t>Hover: subtle darken; no glow</w:t>
      </w:r>
    </w:p>
    <w:p>
      <w:pPr>
        <w:pStyle w:val="ListBullet"/>
      </w:pPr>
      <w:r>
        <w:t>Links</w:t>
      </w:r>
    </w:p>
    <w:p>
      <w:pPr>
        <w:pStyle w:val="ListBullet2"/>
      </w:pPr>
      <w:r>
        <w:t>Default Ink 2; hover uses accent underline OR thin underline in Ink</w:t>
      </w:r>
    </w:p>
    <w:p>
      <w:pPr>
        <w:pStyle w:val="ListBullet"/>
      </w:pPr>
      <w:r>
        <w:t>Cards</w:t>
      </w:r>
    </w:p>
    <w:p>
      <w:pPr>
        <w:pStyle w:val="ListBullet2"/>
      </w:pPr>
      <w:r>
        <w:t>Surface white; Border #E8E6E1; radius 18; padding 24–32</w:t>
      </w:r>
    </w:p>
    <w:p>
      <w:pPr>
        <w:pStyle w:val="ListBullet2"/>
      </w:pPr>
      <w:r>
        <w:t>Icons: thin-line only; keep secondary</w:t>
      </w:r>
    </w:p>
    <w:p>
      <w:pPr>
        <w:pStyle w:val="ListBullet"/>
      </w:pPr>
      <w:r>
        <w:t>Forms</w:t>
      </w:r>
    </w:p>
    <w:p>
      <w:pPr>
        <w:pStyle w:val="ListBullet2"/>
      </w:pPr>
      <w:r>
        <w:t>Simple: name + email + message (or Typeform embed). Inputs 48 px height; radius 12.</w:t>
      </w:r>
    </w:p>
    <w:p>
      <w:pPr>
        <w:pStyle w:val="Heading2"/>
      </w:pPr>
      <w:r>
        <w:t>Imagery &amp; icons</w:t>
      </w:r>
    </w:p>
    <w:p>
      <w:pPr>
        <w:pStyle w:val="ListBullet"/>
      </w:pPr>
      <w:r>
        <w:t>Imagery</w:t>
      </w:r>
    </w:p>
    <w:p>
      <w:pPr>
        <w:pStyle w:val="ListBullet2"/>
      </w:pPr>
      <w:r>
        <w:t>Real, minimal lifestyle work shots: clean desks, cafés, travel work scenes; soft natural light.</w:t>
      </w:r>
    </w:p>
    <w:p>
      <w:pPr>
        <w:pStyle w:val="ListBullet2"/>
      </w:pPr>
      <w:r>
        <w:t>Avoid corporate meeting room stock photos.</w:t>
      </w:r>
    </w:p>
    <w:p>
      <w:pPr>
        <w:pStyle w:val="ListBullet"/>
      </w:pPr>
      <w:r>
        <w:t>Icons</w:t>
      </w:r>
    </w:p>
    <w:p>
      <w:pPr>
        <w:pStyle w:val="ListBullet2"/>
      </w:pPr>
      <w:r>
        <w:t>Thin line icons (stroke 1.5–2 px). Use sparingly; the logo symbol is the hero.</w:t>
      </w:r>
    </w:p>
    <w:p>
      <w:pPr>
        <w:pStyle w:val="Heading2"/>
      </w:pPr>
      <w:r>
        <w:t>Logo usage</w:t>
      </w:r>
    </w:p>
    <w:p>
      <w:pPr>
        <w:pStyle w:val="ListBullet"/>
      </w:pPr>
      <w:r>
        <w:t>Clear space: at least the symbol height around the logo.</w:t>
      </w:r>
    </w:p>
    <w:p>
      <w:pPr>
        <w:pStyle w:val="ListBullet"/>
      </w:pPr>
      <w:r>
        <w:t>Use the symbol subtly as a motif (section markers, bullets, footer watermark at 5–8% opacity).</w:t>
      </w:r>
    </w:p>
    <w:p>
      <w:pPr>
        <w:pStyle w:val="Heading1"/>
      </w:pPr>
      <w:r>
        <w:t>Homepage wireframe (with build instructions)</w:t>
      </w:r>
    </w:p>
    <w:p>
      <w:pPr>
        <w:pStyle w:val="Heading2"/>
      </w:pPr>
      <w:r>
        <w:t>0) Header (sticky)</w:t>
      </w:r>
    </w:p>
    <w:p>
      <w:pPr>
        <w:pStyle w:val="ListBullet"/>
      </w:pPr>
      <w:r>
        <w:t>Left: logo (symbol + SEOExpert wordmark).</w:t>
      </w:r>
    </w:p>
    <w:p>
      <w:pPr>
        <w:pStyle w:val="ListBullet"/>
      </w:pPr>
      <w:r>
        <w:t>Right nav: Services / Results / About / Blog / Contact.</w:t>
      </w:r>
    </w:p>
    <w:p>
      <w:pPr>
        <w:pStyle w:val="ListBullet"/>
      </w:pPr>
      <w:r>
        <w:t>Primary CTA button: “Book a call”.</w:t>
      </w:r>
    </w:p>
    <w:p>
      <w:pPr>
        <w:pStyle w:val="ListBullet"/>
      </w:pPr>
      <w:r>
        <w:t>Header height ~72 px; on mobile use hamburger + small CTA.</w:t>
      </w:r>
    </w:p>
    <w:p>
      <w:pPr>
        <w:pStyle w:val="Heading2"/>
      </w:pPr>
      <w:r>
        <w:t>1) Hero (above the fold)</w:t>
      </w:r>
    </w:p>
    <w:p>
      <w:pPr>
        <w:pStyle w:val="ListBullet"/>
      </w:pPr>
      <w:r>
        <w:t>Left: H1 + 1–2 lines subtext (outcomes + your style).</w:t>
      </w:r>
    </w:p>
    <w:p>
      <w:pPr>
        <w:pStyle w:val="ListBullet"/>
      </w:pPr>
      <w:r>
        <w:t>CTAs: Primary “Book a call”; Secondary “See results”.</w:t>
      </w:r>
    </w:p>
    <w:p>
      <w:pPr>
        <w:pStyle w:val="ListBullet"/>
      </w:pPr>
      <w:r>
        <w:t>Add a tiny reassurance line under CTAs: “No long contracts. Clear deliverables.”</w:t>
      </w:r>
    </w:p>
    <w:p>
      <w:pPr>
        <w:pStyle w:val="ListBullet"/>
      </w:pPr>
      <w:r>
        <w:t>Right: one clean lifestyle image OR a minimal “snapshot” card (no fake numbers).</w:t>
      </w:r>
    </w:p>
    <w:p>
      <w:pPr>
        <w:pStyle w:val="ListBullet"/>
      </w:pPr>
      <w:r>
        <w:t>Keep hero clean; max 2 CTAs.</w:t>
      </w:r>
    </w:p>
    <w:p>
      <w:pPr>
        <w:pStyle w:val="Heading2"/>
      </w:pPr>
      <w:r>
        <w:t>2) Trust strip</w:t>
      </w:r>
    </w:p>
    <w:p>
      <w:pPr>
        <w:pStyle w:val="ListBullet"/>
      </w:pPr>
      <w:r>
        <w:t>If you have proof: “Trusted by …” or “Worked with …”.</w:t>
      </w:r>
    </w:p>
    <w:p>
      <w:pPr>
        <w:pStyle w:val="ListBullet"/>
      </w:pPr>
      <w:r>
        <w:t>If not: replace logos with 3 credibility bullets (Strategy-led / White-hat / Clear reporting).</w:t>
      </w:r>
    </w:p>
    <w:p>
      <w:pPr>
        <w:pStyle w:val="ListBullet"/>
      </w:pPr>
      <w:r>
        <w:t>Do not use fake logos.</w:t>
      </w:r>
    </w:p>
    <w:p>
      <w:pPr>
        <w:pStyle w:val="Heading2"/>
      </w:pPr>
      <w:r>
        <w:t>3) What you do (3 service cards)</w:t>
      </w:r>
    </w:p>
    <w:p>
      <w:pPr>
        <w:pStyle w:val="ListBullet"/>
      </w:pPr>
      <w:r>
        <w:t>Card 1: SEO Strategy + Roadmap.</w:t>
      </w:r>
    </w:p>
    <w:p>
      <w:pPr>
        <w:pStyle w:val="ListBullet"/>
      </w:pPr>
      <w:r>
        <w:t>Card 2: Technical SEO + Fixes.</w:t>
      </w:r>
    </w:p>
    <w:p>
      <w:pPr>
        <w:pStyle w:val="ListBullet"/>
      </w:pPr>
      <w:r>
        <w:t>Card 3: Content SEO + Topic Clusters.</w:t>
      </w:r>
    </w:p>
    <w:p>
      <w:pPr>
        <w:pStyle w:val="ListBullet"/>
      </w:pPr>
      <w:r>
        <w:t>Each card: 1–2 sentence description + “Learn more”.</w:t>
      </w:r>
    </w:p>
    <w:p>
      <w:pPr>
        <w:pStyle w:val="ListBullet"/>
      </w:pPr>
      <w:r>
        <w:t>Keep language concrete; equal-height cards on desktop.</w:t>
      </w:r>
    </w:p>
    <w:p>
      <w:pPr>
        <w:pStyle w:val="Heading2"/>
      </w:pPr>
      <w:r>
        <w:t>4) Differentiators (culture + process)</w:t>
      </w:r>
    </w:p>
    <w:p>
      <w:pPr>
        <w:pStyle w:val="ListBullet"/>
      </w:pPr>
      <w:r>
        <w:t>Two-column section.</w:t>
      </w:r>
    </w:p>
    <w:p>
      <w:pPr>
        <w:pStyle w:val="ListBullet"/>
      </w:pPr>
      <w:r>
        <w:t>Left: headline “SEO without the agency fluff.” + 3–5 bullets (async, no vanity metrics, sustainable growth).</w:t>
      </w:r>
    </w:p>
    <w:p>
      <w:pPr>
        <w:pStyle w:val="ListBullet"/>
      </w:pPr>
      <w:r>
        <w:t>Right: 4-step mini timeline: Audit &amp; goals → Strategy &amp; prioritisation → Execution sprints → Reporting &amp; iteration.</w:t>
      </w:r>
    </w:p>
    <w:p>
      <w:pPr>
        <w:pStyle w:val="ListBullet"/>
      </w:pPr>
      <w:r>
        <w:t>Add subtle dividers between steps; keep this section values-led.</w:t>
      </w:r>
    </w:p>
    <w:p>
      <w:pPr>
        <w:pStyle w:val="Heading2"/>
      </w:pPr>
      <w:r>
        <w:t>5) Results / case studies</w:t>
      </w:r>
    </w:p>
    <w:p>
      <w:pPr>
        <w:pStyle w:val="ListBullet"/>
      </w:pPr>
      <w:r>
        <w:t>If you have case studies: 2 cards (Context / What you did / Outcome + timeframe / CTA).</w:t>
      </w:r>
    </w:p>
    <w:p>
      <w:pPr>
        <w:pStyle w:val="ListBullet"/>
      </w:pPr>
      <w:r>
        <w:t>If not: “What clients can expect” + the KPIs you track (rankings, revenue, qualified leads, etc.).</w:t>
      </w:r>
    </w:p>
    <w:p>
      <w:pPr>
        <w:pStyle w:val="ListBullet"/>
      </w:pPr>
      <w:r>
        <w:t>No inflated claims; 1 testimonial max here.</w:t>
      </w:r>
    </w:p>
    <w:p>
      <w:pPr>
        <w:pStyle w:val="Heading2"/>
      </w:pPr>
      <w:r>
        <w:t>6) Founder section</w:t>
      </w:r>
    </w:p>
    <w:p>
      <w:pPr>
        <w:pStyle w:val="ListBullet"/>
      </w:pPr>
      <w:r>
        <w:t>Left: natural founder photo OR minimal motif (avoid corporate headshot styling).</w:t>
      </w:r>
    </w:p>
    <w:p>
      <w:pPr>
        <w:pStyle w:val="ListBullet"/>
      </w:pPr>
      <w:r>
        <w:t>Right: short founder note (3–5 lines) + “Best fit clients” bullets.</w:t>
      </w:r>
    </w:p>
    <w:p>
      <w:pPr>
        <w:pStyle w:val="ListBullet"/>
      </w:pPr>
      <w:r>
        <w:t>CTA: “Work with me”.</w:t>
      </w:r>
    </w:p>
    <w:p>
      <w:pPr>
        <w:pStyle w:val="ListBullet"/>
      </w:pPr>
      <w:r>
        <w:t>Keep it human and concise; this is your edge.</w:t>
      </w:r>
    </w:p>
    <w:p>
      <w:pPr>
        <w:pStyle w:val="Heading2"/>
      </w:pPr>
      <w:r>
        <w:t>7) Contact / CTA footer block</w:t>
      </w:r>
    </w:p>
    <w:p>
      <w:pPr>
        <w:pStyle w:val="ListBullet"/>
      </w:pPr>
      <w:r>
        <w:t>CTA card: “Ready to grow sustainably?” + button “Book a call” + secondary email link.</w:t>
      </w:r>
    </w:p>
    <w:p>
      <w:pPr>
        <w:pStyle w:val="ListBullet"/>
      </w:pPr>
      <w:r>
        <w:t>Footer: Privacy / Terms, socials, small watermark symbol.</w:t>
      </w:r>
    </w:p>
    <w:p>
      <w:pPr>
        <w:pStyle w:val="ListBullet"/>
      </w:pPr>
      <w:r>
        <w:t>Don’t clutter footer early on.</w:t>
      </w:r>
    </w:p>
    <w:p>
      <w:pPr>
        <w:pStyle w:val="Heading1"/>
      </w:pPr>
      <w:r>
        <w:t>Implementation notes (for designer/dev)</w:t>
      </w:r>
    </w:p>
    <w:p>
      <w:pPr>
        <w:pStyle w:val="ListBullet"/>
      </w:pPr>
      <w:r>
        <w:t>Design tokens (copy/paste):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--bg</w:t>
            </w:r>
          </w:p>
        </w:tc>
        <w:tc>
          <w:tcPr>
            <w:tcW w:type="dxa" w:w="4320"/>
          </w:tcPr>
          <w:p>
            <w:r>
              <w:t>#F7F6F3</w:t>
            </w:r>
          </w:p>
        </w:tc>
      </w:tr>
      <w:tr>
        <w:tc>
          <w:tcPr>
            <w:tcW w:type="dxa" w:w="4320"/>
          </w:tcPr>
          <w:p>
            <w:r>
              <w:t>--ink</w:t>
            </w:r>
          </w:p>
        </w:tc>
        <w:tc>
          <w:tcPr>
            <w:tcW w:type="dxa" w:w="4320"/>
          </w:tcPr>
          <w:p>
            <w:r>
              <w:t>#111111</w:t>
            </w:r>
          </w:p>
        </w:tc>
      </w:tr>
      <w:tr>
        <w:tc>
          <w:tcPr>
            <w:tcW w:type="dxa" w:w="4320"/>
          </w:tcPr>
          <w:p>
            <w:r>
              <w:t>--ink2</w:t>
            </w:r>
          </w:p>
        </w:tc>
        <w:tc>
          <w:tcPr>
            <w:tcW w:type="dxa" w:w="4320"/>
          </w:tcPr>
          <w:p>
            <w:r>
              <w:t>#3A3A3A</w:t>
            </w:r>
          </w:p>
        </w:tc>
      </w:tr>
      <w:tr>
        <w:tc>
          <w:tcPr>
            <w:tcW w:type="dxa" w:w="4320"/>
          </w:tcPr>
          <w:p>
            <w:r>
              <w:t>--border</w:t>
            </w:r>
          </w:p>
        </w:tc>
        <w:tc>
          <w:tcPr>
            <w:tcW w:type="dxa" w:w="4320"/>
          </w:tcPr>
          <w:p>
            <w:r>
              <w:t>#E8E6E1</w:t>
            </w:r>
          </w:p>
        </w:tc>
      </w:tr>
      <w:tr>
        <w:tc>
          <w:tcPr>
            <w:tcW w:type="dxa" w:w="4320"/>
          </w:tcPr>
          <w:p>
            <w:r>
              <w:t>--muted</w:t>
            </w:r>
          </w:p>
        </w:tc>
        <w:tc>
          <w:tcPr>
            <w:tcW w:type="dxa" w:w="4320"/>
          </w:tcPr>
          <w:p>
            <w:r>
              <w:t>#B9B6B0</w:t>
            </w:r>
          </w:p>
        </w:tc>
      </w:tr>
      <w:tr>
        <w:tc>
          <w:tcPr>
            <w:tcW w:type="dxa" w:w="4320"/>
          </w:tcPr>
          <w:p>
            <w:r>
              <w:t>--accent (optional)</w:t>
            </w:r>
          </w:p>
        </w:tc>
        <w:tc>
          <w:tcPr>
            <w:tcW w:type="dxa" w:w="4320"/>
          </w:tcPr>
          <w:p>
            <w:r>
              <w:t>#2F5AFF</w:t>
            </w:r>
          </w:p>
        </w:tc>
      </w:tr>
      <w:tr>
        <w:tc>
          <w:tcPr>
            <w:tcW w:type="dxa" w:w="4320"/>
          </w:tcPr>
          <w:p>
            <w:r>
              <w:t>--radius-card</w:t>
            </w:r>
          </w:p>
        </w:tc>
        <w:tc>
          <w:tcPr>
            <w:tcW w:type="dxa" w:w="4320"/>
          </w:tcPr>
          <w:p>
            <w:r>
              <w:t>18px</w:t>
            </w:r>
          </w:p>
        </w:tc>
      </w:tr>
      <w:tr>
        <w:tc>
          <w:tcPr>
            <w:tcW w:type="dxa" w:w="4320"/>
          </w:tcPr>
          <w:p>
            <w:r>
              <w:t>--radius-btn</w:t>
            </w:r>
          </w:p>
        </w:tc>
        <w:tc>
          <w:tcPr>
            <w:tcW w:type="dxa" w:w="4320"/>
          </w:tcPr>
          <w:p>
            <w:r>
              <w:t>12px</w:t>
            </w:r>
          </w:p>
        </w:tc>
      </w:tr>
    </w:tbl>
    <w:p>
      <w:pPr>
        <w:pStyle w:val="ListBullet"/>
      </w:pPr>
      <w:r>
        <w:t>Mobile rules:</w:t>
      </w:r>
    </w:p>
    <w:p>
      <w:pPr>
        <w:pStyle w:val="ListBullet2"/>
      </w:pPr>
      <w:r>
        <w:t>Hero stacks: text first, then image/card.</w:t>
      </w:r>
    </w:p>
    <w:p>
      <w:pPr>
        <w:pStyle w:val="ListBullet2"/>
      </w:pPr>
      <w:r>
        <w:t>Service cards become a vertical list.</w:t>
      </w:r>
    </w:p>
    <w:p>
      <w:pPr>
        <w:pStyle w:val="ListBullet2"/>
      </w:pPr>
      <w:r>
        <w:t>Keep primary CTA visible within first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